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commentsExtended+xml" PartName="/word/commentsExtended.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before="0" w:lineRule="auto"/>
        <w:ind w:right="-1003"/>
        <w:jc w:val="both"/>
        <w:rPr>
          <w:rFonts w:ascii="Century Gothic" w:cs="Century Gothic" w:eastAsia="Century Gothic" w:hAnsi="Century Gothic"/>
          <w:b w:val="1"/>
          <w:bCs w:val="1"/>
          <w:sz w:val="2"/>
          <w:szCs w:val="2"/>
        </w:rPr>
      </w:pPr>
      <w:r w:rsidDel="00000000" w:rsidR="00000000" w:rsidRPr="00000000">
        <w:rPr>
          <w:rFonts w:ascii="Calibri" w:cs="Calibri" w:eastAsia="Calibri" w:hAnsi="Calibri"/>
          <w:sz w:val="16"/>
          <w:szCs w:val="16"/>
          <w:rtl w:val="0"/>
        </w:rPr>
        <w:t xml:space="preserve">                                                                                                                                                                              </w:t>
      </w:r>
      <w:r w:rsidDel="00000000" w:rsidR="00000000" w:rsidRPr="00000000">
        <w:rPr>
          <w:rtl w:val="0"/>
        </w:rPr>
      </w:r>
    </w:p>
    <w:p w:rsidR="00000000" w:rsidDel="00000000" w:rsidP="00000000" w:rsidRDefault="00000000" w:rsidRPr="00000000" w14:paraId="00000002">
      <w:pPr>
        <w:spacing w:after="0" w:line="240" w:lineRule="auto"/>
        <w:ind w:right="-301.65354330708624"/>
        <w:jc w:val="both"/>
        <w:rPr>
          <w:rFonts w:ascii="Georgia" w:cs="Georgia" w:eastAsia="Georgia" w:hAnsi="Georgia"/>
          <w:b w:val="1"/>
          <w:bCs w:val="1"/>
          <w:sz w:val="44"/>
          <w:szCs w:val="44"/>
        </w:rPr>
      </w:pPr>
      <w:sdt>
        <w:sdtPr>
          <w:id w:val="1529020540"/>
          <w:tag w:val="goog_rdk_0"/>
        </w:sdtPr>
        <w:sdtContent>
          <w:commentRangeStart w:id="0"/>
        </w:sdtContent>
      </w:sdt>
      <w:r w:rsidDel="00000000" w:rsidR="00000000" w:rsidRPr="00000000">
        <w:rPr>
          <w:rFonts w:ascii="Georgia" w:cs="Georgia" w:eastAsia="Georgia" w:hAnsi="Georgia"/>
          <w:b w:val="1"/>
          <w:bCs w:val="1"/>
          <w:sz w:val="44"/>
          <w:szCs w:val="44"/>
          <w:rtl w:val="0"/>
        </w:rPr>
        <w:t xml:space="preserve">Polymicrobial Infection in COPD exacerbation</w:t>
      </w:r>
      <w:commentRangeEnd w:id="0"/>
      <w:r w:rsidDel="00000000" w:rsidR="00000000" w:rsidRPr="00000000">
        <w:commentReference w:id="0"/>
      </w:r>
      <w:r w:rsidDel="00000000" w:rsidR="00000000" w:rsidRPr="00000000">
        <w:rPr>
          <w:rtl w:val="0"/>
        </w:rPr>
      </w:r>
    </w:p>
    <w:p w:rsidR="00000000" w:rsidDel="00000000" w:rsidP="00000000" w:rsidRDefault="00000000" w:rsidRPr="00000000" w14:paraId="00000003">
      <w:pPr>
        <w:spacing w:after="0" w:line="240" w:lineRule="auto"/>
        <w:ind w:right="-301.65354330708624"/>
        <w:jc w:val="both"/>
        <w:rPr>
          <w:rFonts w:ascii="Century" w:cs="Century" w:eastAsia="Century" w:hAnsi="Century"/>
          <w:sz w:val="10"/>
          <w:szCs w:val="10"/>
        </w:rPr>
      </w:pPr>
      <w:r w:rsidDel="00000000" w:rsidR="00000000" w:rsidRPr="00000000">
        <w:rPr>
          <w:rtl w:val="0"/>
        </w:rPr>
      </w:r>
    </w:p>
    <w:p w:rsidR="00000000" w:rsidDel="00000000" w:rsidP="00000000" w:rsidRDefault="00000000" w:rsidRPr="00000000" w14:paraId="00000004">
      <w:pPr>
        <w:spacing w:line="360" w:lineRule="auto"/>
        <w:jc w:val="both"/>
        <w:rPr>
          <w:rFonts w:ascii="Century" w:cs="Century" w:eastAsia="Century" w:hAnsi="Century"/>
          <w:b w:val="1"/>
          <w:bCs w:val="1"/>
          <w:i w:val="1"/>
          <w:iCs w:val="1"/>
        </w:rPr>
      </w:pPr>
      <w:r w:rsidDel="00000000" w:rsidR="00000000" w:rsidRPr="00000000">
        <w:rPr>
          <w:rFonts w:ascii="Century" w:cs="Century" w:eastAsia="Century" w:hAnsi="Century"/>
          <w:b w:val="1"/>
          <w:bCs w:val="1"/>
          <w:i w:val="1"/>
          <w:iCs w:val="1"/>
          <w:rtl w:val="0"/>
        </w:rPr>
        <w:t xml:space="preserve">Drupad Das, *Prasan Kumar Panda</w:t>
      </w:r>
    </w:p>
    <w:p w:rsidR="00000000" w:rsidDel="00000000" w:rsidP="00000000" w:rsidRDefault="00000000" w:rsidRPr="00000000" w14:paraId="00000005">
      <w:pPr>
        <w:spacing w:line="360" w:lineRule="auto"/>
        <w:ind w:left="0" w:firstLine="0"/>
        <w:jc w:val="both"/>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Department of Medicine (ID Division), All India Institute of Medical Sciences, Rishikesh, Uttarakhand, India</w:t>
      </w:r>
    </w:p>
    <w:p w:rsidR="00000000" w:rsidDel="00000000" w:rsidP="00000000" w:rsidRDefault="00000000" w:rsidRPr="00000000" w14:paraId="00000006">
      <w:pPr>
        <w:spacing w:line="480" w:lineRule="auto"/>
        <w:jc w:val="both"/>
        <w:rPr>
          <w:rFonts w:ascii="Georgia" w:cs="Georgia" w:eastAsia="Georgia" w:hAnsi="Georgia"/>
          <w:sz w:val="18"/>
          <w:szCs w:val="18"/>
        </w:rPr>
        <w:sectPr>
          <w:headerReference r:id="rId9" w:type="default"/>
          <w:headerReference r:id="rId10" w:type="first"/>
          <w:footerReference r:id="rId11" w:type="default"/>
          <w:footerReference r:id="rId12" w:type="first"/>
          <w:pgSz w:h="16838" w:w="11906" w:orient="portrait"/>
          <w:pgMar w:bottom="720" w:top="720" w:left="720" w:right="720" w:header="283.46456692913387" w:footer="283.46456692913387"/>
          <w:pgNumType w:start="1"/>
          <w:titlePg w:val="1"/>
        </w:sectPr>
      </w:pPr>
      <w:sdt>
        <w:sdtPr>
          <w:id w:val="509035276"/>
          <w:tag w:val="goog_rdk_1"/>
        </w:sdtPr>
        <w:sdtContent>
          <w:commentRangeStart w:id="1"/>
        </w:sdtContent>
      </w:sdt>
      <w:r w:rsidDel="00000000" w:rsidR="00000000" w:rsidRPr="00000000">
        <w:rPr>
          <w:rFonts w:ascii="Georgia" w:cs="Georgia" w:eastAsia="Georgia" w:hAnsi="Georgia"/>
          <w:b w:val="1"/>
          <w:bCs w:val="1"/>
          <w:sz w:val="18"/>
          <w:szCs w:val="18"/>
          <w:rtl w:val="0"/>
        </w:rPr>
        <w:t xml:space="preserve">*Email:</w:t>
      </w:r>
      <w:r w:rsidDel="00000000" w:rsidR="00000000" w:rsidRPr="00000000">
        <w:rPr>
          <w:rFonts w:ascii="Georgia" w:cs="Georgia" w:eastAsia="Georgia" w:hAnsi="Georgia"/>
          <w:sz w:val="18"/>
          <w:szCs w:val="18"/>
          <w:rtl w:val="0"/>
        </w:rPr>
        <w:t xml:space="preserve">motherprasanna@rediffmail.com</w:t>
      </w:r>
      <w:commentRangeEnd w:id="1"/>
      <w:r w:rsidDel="00000000" w:rsidR="00000000" w:rsidRPr="00000000">
        <w:commentReference w:id="1"/>
      </w: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1</wp:posOffset>
                </wp:positionH>
                <wp:positionV relativeFrom="paragraph">
                  <wp:posOffset>342900</wp:posOffset>
                </wp:positionV>
                <wp:extent cx="6736650" cy="66102"/>
                <wp:effectExtent b="0" l="0" r="0" t="0"/>
                <wp:wrapNone/>
                <wp:docPr id="167" name=""/>
                <a:graphic>
                  <a:graphicData uri="http://schemas.microsoft.com/office/word/2010/wordprocessingShape">
                    <wps:wsp>
                      <wps:cNvCnPr/>
                      <wps:spPr>
                        <a:xfrm>
                          <a:off x="2679150" y="3780000"/>
                          <a:ext cx="5333700" cy="0"/>
                        </a:xfrm>
                        <a:prstGeom prst="straightConnector1">
                          <a:avLst/>
                        </a:prstGeom>
                        <a:noFill/>
                        <a:ln cap="flat" cmpd="sng" w="9525">
                          <a:solidFill>
                            <a:srgbClr val="218CA5"/>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1</wp:posOffset>
                </wp:positionH>
                <wp:positionV relativeFrom="paragraph">
                  <wp:posOffset>342900</wp:posOffset>
                </wp:positionV>
                <wp:extent cx="6736650" cy="66102"/>
                <wp:effectExtent b="0" l="0" r="0" t="0"/>
                <wp:wrapNone/>
                <wp:docPr id="167" name="image6.png"/>
                <a:graphic>
                  <a:graphicData uri="http://schemas.openxmlformats.org/drawingml/2006/picture">
                    <pic:pic>
                      <pic:nvPicPr>
                        <pic:cNvPr id="0" name="image6.png"/>
                        <pic:cNvPicPr preferRelativeResize="0"/>
                      </pic:nvPicPr>
                      <pic:blipFill>
                        <a:blip r:embed="rId13"/>
                        <a:srcRect/>
                        <a:stretch>
                          <a:fillRect/>
                        </a:stretch>
                      </pic:blipFill>
                      <pic:spPr>
                        <a:xfrm>
                          <a:off x="0" y="0"/>
                          <a:ext cx="6736650" cy="66102"/>
                        </a:xfrm>
                        <a:prstGeom prst="rect"/>
                        <a:ln/>
                      </pic:spPr>
                    </pic:pic>
                  </a:graphicData>
                </a:graphic>
              </wp:anchor>
            </w:drawing>
          </mc:Fallback>
        </mc:AlternateContent>
      </w:r>
    </w:p>
    <w:p w:rsidR="00000000" w:rsidDel="00000000" w:rsidP="00000000" w:rsidRDefault="00000000" w:rsidRPr="00000000" w14:paraId="00000007">
      <w:pPr>
        <w:spacing w:after="0" w:line="276" w:lineRule="auto"/>
        <w:jc w:val="both"/>
        <w:rPr>
          <w:rFonts w:ascii="Century" w:cs="Century" w:eastAsia="Century" w:hAnsi="Century"/>
          <w:b w:val="1"/>
          <w:bCs w:val="1"/>
          <w:color w:val="d07638"/>
        </w:rPr>
        <w:sectPr>
          <w:type w:val="continuous"/>
          <w:pgSz w:h="16838" w:w="11906" w:orient="portrait"/>
          <w:pgMar w:bottom="720" w:top="720" w:left="720" w:right="720" w:header="283" w:footer="283"/>
          <w:pgNumType w:start="60"/>
        </w:sectPr>
      </w:pPr>
      <w:r w:rsidDel="00000000" w:rsidR="00000000" w:rsidRPr="00000000">
        <w:rPr>
          <w:rtl w:val="0"/>
        </w:rPr>
      </w:r>
    </w:p>
    <w:p w:rsidR="00000000" w:rsidDel="00000000" w:rsidP="00000000" w:rsidRDefault="00000000" w:rsidRPr="00000000" w14:paraId="00000008">
      <w:pPr>
        <w:spacing w:after="0" w:line="276" w:lineRule="auto"/>
        <w:jc w:val="both"/>
        <w:rPr>
          <w:rFonts w:ascii="Century" w:cs="Century" w:eastAsia="Century" w:hAnsi="Century"/>
          <w:b w:val="1"/>
          <w:bCs w:val="1"/>
          <w:color w:val="d07638"/>
        </w:rPr>
      </w:pPr>
      <w:r w:rsidDel="00000000" w:rsidR="00000000" w:rsidRPr="00000000">
        <w:rPr>
          <w:rFonts w:ascii="Century" w:cs="Century" w:eastAsia="Century" w:hAnsi="Century"/>
          <w:b w:val="1"/>
          <w:bCs w:val="1"/>
          <w:color w:val="d07638"/>
          <w:rtl w:val="0"/>
        </w:rPr>
        <w:t xml:space="preserve">Case Vignette</w:t>
      </w:r>
    </w:p>
    <w:p w:rsidR="00000000" w:rsidDel="00000000" w:rsidP="00000000" w:rsidRDefault="00000000" w:rsidRPr="00000000" w14:paraId="00000009">
      <w:pPr>
        <w:tabs>
          <w:tab w:val="left" w:leader="none" w:pos="270"/>
        </w:tabs>
        <w:spacing w:after="240" w:line="276" w:lineRule="auto"/>
        <w:ind w:left="384" w:firstLine="0"/>
        <w:jc w:val="both"/>
        <w:rPr>
          <w:rFonts w:ascii="Georgia" w:cs="Georgia" w:eastAsia="Georgia" w:hAnsi="Georgia"/>
          <w:sz w:val="21"/>
          <w:szCs w:val="21"/>
        </w:rPr>
      </w:pPr>
      <w:r w:rsidDel="00000000" w:rsidR="00000000" w:rsidRPr="00000000">
        <w:rPr>
          <w:rFonts w:ascii="Georgia" w:cs="Georgia" w:eastAsia="Georgia" w:hAnsi="Georgia"/>
          <w:sz w:val="21"/>
          <w:szCs w:val="21"/>
          <w:highlight w:val="white"/>
          <w:rtl w:val="0"/>
        </w:rPr>
        <w:t xml:space="preserve">A middle-aged, thinly built woman who smokes </w:t>
      </w:r>
      <w:r w:rsidDel="00000000" w:rsidR="00000000" w:rsidRPr="00000000">
        <w:rPr>
          <w:rFonts w:ascii="Georgia" w:cs="Georgia" w:eastAsia="Georgia" w:hAnsi="Georgia"/>
          <w:sz w:val="21"/>
          <w:szCs w:val="21"/>
          <w:rtl w:val="0"/>
        </w:rPr>
        <w:t xml:space="preserve">beedi and has a history of biomass exposure, has been suffering from COPD for the last 4 years. She has been taking inhaled betamethasone and tiotropium. Additionally, she had uncontrolled diabetes for a few months. She presented with fever, productive cough, shortness of breath, and chest pain for 5 days. Chest X-ray and CT confirmed pneumonia, cavities, and abscesses in both lungs. Repeated sputum and bronchoalveolar lavage confirmed </w:t>
      </w:r>
      <w:r w:rsidDel="00000000" w:rsidR="00000000" w:rsidRPr="00000000">
        <w:rPr>
          <w:rFonts w:ascii="Georgia" w:cs="Georgia" w:eastAsia="Georgia" w:hAnsi="Georgia"/>
          <w:i w:val="1"/>
          <w:iCs w:val="1"/>
          <w:sz w:val="21"/>
          <w:szCs w:val="21"/>
          <w:rtl w:val="0"/>
        </w:rPr>
        <w:t xml:space="preserve">Pseudomonas aeruginosa</w:t>
      </w:r>
      <w:r w:rsidDel="00000000" w:rsidR="00000000" w:rsidRPr="00000000">
        <w:rPr>
          <w:rFonts w:ascii="Georgia" w:cs="Georgia" w:eastAsia="Georgia" w:hAnsi="Georgia"/>
          <w:sz w:val="21"/>
          <w:szCs w:val="21"/>
          <w:rtl w:val="0"/>
        </w:rPr>
        <w:t xml:space="preserve"> and </w:t>
      </w:r>
      <w:r w:rsidDel="00000000" w:rsidR="00000000" w:rsidRPr="00000000">
        <w:rPr>
          <w:rFonts w:ascii="Georgia" w:cs="Georgia" w:eastAsia="Georgia" w:hAnsi="Georgia"/>
          <w:i w:val="1"/>
          <w:iCs w:val="1"/>
          <w:sz w:val="21"/>
          <w:szCs w:val="21"/>
          <w:rtl w:val="0"/>
        </w:rPr>
        <w:t xml:space="preserve">Aspergillus fumigatus</w:t>
      </w:r>
      <w:r w:rsidDel="00000000" w:rsidR="00000000" w:rsidRPr="00000000">
        <w:rPr>
          <w:rFonts w:ascii="Georgia" w:cs="Georgia" w:eastAsia="Georgia" w:hAnsi="Georgia"/>
          <w:sz w:val="21"/>
          <w:szCs w:val="21"/>
          <w:rtl w:val="0"/>
        </w:rPr>
        <w:t xml:space="preserve">. Along with supportive therapy, she was treated with tablet levofloxacin and injection amikacin for 6 weeks based on culture sensitivity reports, and capsule itraconazole for 6 months. She recovered completely to her baseline COPD and diabetes status. </w:t>
      </w:r>
      <w:r w:rsidDel="00000000" w:rsidR="00000000" w:rsidRPr="00000000">
        <w:drawing>
          <wp:anchor allowOverlap="1" behindDoc="0" distB="114300" distT="114300" distL="114300" distR="114300" hidden="0" layoutInCell="1" locked="0" relativeHeight="0" simplePos="0">
            <wp:simplePos x="0" y="0"/>
            <wp:positionH relativeFrom="column">
              <wp:posOffset>1333500</wp:posOffset>
            </wp:positionH>
            <wp:positionV relativeFrom="paragraph">
              <wp:posOffset>1508250</wp:posOffset>
            </wp:positionV>
            <wp:extent cx="4434038" cy="3628672"/>
            <wp:effectExtent b="0" l="0" r="0" t="0"/>
            <wp:wrapNone/>
            <wp:docPr id="171" name="image2.jpg"/>
            <a:graphic>
              <a:graphicData uri="http://schemas.openxmlformats.org/drawingml/2006/picture">
                <pic:pic>
                  <pic:nvPicPr>
                    <pic:cNvPr id="0" name="image2.jpg"/>
                    <pic:cNvPicPr preferRelativeResize="0"/>
                  </pic:nvPicPr>
                  <pic:blipFill>
                    <a:blip r:embed="rId14"/>
                    <a:srcRect b="0" l="0" r="0" t="0"/>
                    <a:stretch>
                      <a:fillRect/>
                    </a:stretch>
                  </pic:blipFill>
                  <pic:spPr>
                    <a:xfrm>
                      <a:off x="0" y="0"/>
                      <a:ext cx="4434038" cy="3628672"/>
                    </a:xfrm>
                    <a:prstGeom prst="rect"/>
                    <a:ln/>
                  </pic:spPr>
                </pic:pic>
              </a:graphicData>
            </a:graphic>
          </wp:anchor>
        </w:drawing>
      </w:r>
    </w:p>
    <w:p w:rsidR="00000000" w:rsidDel="00000000" w:rsidP="00000000" w:rsidRDefault="00000000" w:rsidRPr="00000000" w14:paraId="0000000A">
      <w:pPr>
        <w:tabs>
          <w:tab w:val="left" w:leader="none" w:pos="380"/>
        </w:tabs>
        <w:spacing w:after="240" w:line="276" w:lineRule="auto"/>
        <w:ind w:left="384" w:firstLine="0"/>
        <w:jc w:val="both"/>
        <w:rPr>
          <w:rFonts w:ascii="Georgia" w:cs="Georgia" w:eastAsia="Georgia" w:hAnsi="Georgia"/>
          <w:sz w:val="21"/>
          <w:szCs w:val="21"/>
        </w:rPr>
      </w:pPr>
      <w:r w:rsidDel="00000000" w:rsidR="00000000" w:rsidRPr="00000000">
        <w:rPr>
          <w:rtl w:val="0"/>
        </w:rPr>
      </w:r>
    </w:p>
    <w:p w:rsidR="00000000" w:rsidDel="00000000" w:rsidP="00000000" w:rsidRDefault="00000000" w:rsidRPr="00000000" w14:paraId="0000000B">
      <w:pPr>
        <w:tabs>
          <w:tab w:val="left" w:leader="none" w:pos="380"/>
        </w:tabs>
        <w:spacing w:after="240" w:line="276" w:lineRule="auto"/>
        <w:ind w:left="384" w:firstLine="0"/>
        <w:jc w:val="both"/>
        <w:rPr>
          <w:rFonts w:ascii="Georgia" w:cs="Georgia" w:eastAsia="Georgia" w:hAnsi="Georgia"/>
          <w:sz w:val="21"/>
          <w:szCs w:val="21"/>
        </w:rPr>
        <w:sectPr>
          <w:type w:val="continuous"/>
          <w:pgSz w:h="16838" w:w="11906" w:orient="portrait"/>
          <w:pgMar w:bottom="720" w:top="720" w:left="720" w:right="720" w:header="283" w:footer="283"/>
          <w:cols w:equalWidth="0" w:num="1">
            <w:col w:space="0" w:w="10465.5"/>
          </w:cols>
        </w:sectPr>
      </w:pPr>
      <w:r w:rsidDel="00000000" w:rsidR="00000000" w:rsidRPr="00000000">
        <w:rPr>
          <w:rtl w:val="0"/>
        </w:rPr>
      </w:r>
    </w:p>
    <w:p w:rsidR="00000000" w:rsidDel="00000000" w:rsidP="00000000" w:rsidRDefault="00000000" w:rsidRPr="00000000" w14:paraId="0000000C">
      <w:pPr>
        <w:jc w:val="both"/>
        <w:rPr/>
      </w:pPr>
      <w:r w:rsidDel="00000000" w:rsidR="00000000" w:rsidRPr="00000000">
        <w:rPr>
          <w:rtl w:val="0"/>
        </w:rPr>
      </w:r>
    </w:p>
    <w:p w:rsidR="00000000" w:rsidDel="00000000" w:rsidP="00000000" w:rsidRDefault="00000000" w:rsidRPr="00000000" w14:paraId="0000000D">
      <w:pPr>
        <w:jc w:val="both"/>
        <w:rPr/>
      </w:pPr>
      <w:r w:rsidDel="00000000" w:rsidR="00000000" w:rsidRPr="00000000">
        <w:rPr>
          <w:rtl w:val="0"/>
        </w:rPr>
      </w:r>
    </w:p>
    <w:p w:rsidR="00000000" w:rsidDel="00000000" w:rsidP="00000000" w:rsidRDefault="00000000" w:rsidRPr="00000000" w14:paraId="0000000E">
      <w:pPr>
        <w:jc w:val="both"/>
        <w:rPr/>
      </w:pPr>
      <w:r w:rsidDel="00000000" w:rsidR="00000000" w:rsidRPr="00000000">
        <w:rPr>
          <w:rtl w:val="0"/>
        </w:rPr>
      </w:r>
    </w:p>
    <w:p w:rsidR="00000000" w:rsidDel="00000000" w:rsidP="00000000" w:rsidRDefault="00000000" w:rsidRPr="00000000" w14:paraId="0000000F">
      <w:pPr>
        <w:jc w:val="both"/>
        <w:rPr/>
      </w:pPr>
      <w:r w:rsidDel="00000000" w:rsidR="00000000" w:rsidRPr="00000000">
        <w:rPr>
          <w:rtl w:val="0"/>
        </w:rPr>
      </w:r>
    </w:p>
    <w:p w:rsidR="00000000" w:rsidDel="00000000" w:rsidP="00000000" w:rsidRDefault="00000000" w:rsidRPr="00000000" w14:paraId="00000010">
      <w:pPr>
        <w:jc w:val="both"/>
        <w:rPr/>
      </w:pPr>
      <w:r w:rsidDel="00000000" w:rsidR="00000000" w:rsidRPr="00000000">
        <w:rPr>
          <w:rtl w:val="0"/>
        </w:rPr>
      </w:r>
    </w:p>
    <w:p w:rsidR="00000000" w:rsidDel="00000000" w:rsidP="00000000" w:rsidRDefault="00000000" w:rsidRPr="00000000" w14:paraId="00000011">
      <w:pPr>
        <w:jc w:val="both"/>
        <w:rPr/>
      </w:pPr>
      <w:r w:rsidDel="00000000" w:rsidR="00000000" w:rsidRPr="00000000">
        <w:rPr>
          <w:rtl w:val="0"/>
        </w:rPr>
      </w:r>
    </w:p>
    <w:p w:rsidR="00000000" w:rsidDel="00000000" w:rsidP="00000000" w:rsidRDefault="00000000" w:rsidRPr="00000000" w14:paraId="00000012">
      <w:pPr>
        <w:jc w:val="both"/>
        <w:rPr/>
      </w:pPr>
      <w:r w:rsidDel="00000000" w:rsidR="00000000" w:rsidRPr="00000000">
        <w:rPr>
          <w:rtl w:val="0"/>
        </w:rPr>
      </w:r>
    </w:p>
    <w:p w:rsidR="00000000" w:rsidDel="00000000" w:rsidP="00000000" w:rsidRDefault="00000000" w:rsidRPr="00000000" w14:paraId="00000013">
      <w:pPr>
        <w:jc w:val="both"/>
        <w:rPr/>
      </w:pPr>
      <w:r w:rsidDel="00000000" w:rsidR="00000000" w:rsidRPr="00000000">
        <w:rPr>
          <w:rtl w:val="0"/>
        </w:rPr>
      </w:r>
    </w:p>
    <w:p w:rsidR="00000000" w:rsidDel="00000000" w:rsidP="00000000" w:rsidRDefault="00000000" w:rsidRPr="00000000" w14:paraId="00000014">
      <w:pPr>
        <w:jc w:val="both"/>
        <w:rPr/>
      </w:pPr>
      <w:r w:rsidDel="00000000" w:rsidR="00000000" w:rsidRPr="00000000">
        <w:rPr>
          <w:rtl w:val="0"/>
        </w:rPr>
      </w:r>
    </w:p>
    <w:p w:rsidR="00000000" w:rsidDel="00000000" w:rsidP="00000000" w:rsidRDefault="00000000" w:rsidRPr="00000000" w14:paraId="00000015">
      <w:pPr>
        <w:jc w:val="both"/>
        <w:rPr/>
      </w:pPr>
      <w:r w:rsidDel="00000000" w:rsidR="00000000" w:rsidRPr="00000000">
        <w:rPr>
          <w:rtl w:val="0"/>
        </w:rPr>
      </w:r>
    </w:p>
    <w:p w:rsidR="00000000" w:rsidDel="00000000" w:rsidP="00000000" w:rsidRDefault="00000000" w:rsidRPr="00000000" w14:paraId="00000016">
      <w:pPr>
        <w:jc w:val="both"/>
        <w:rPr/>
      </w:pPr>
      <w:r w:rsidDel="00000000" w:rsidR="00000000" w:rsidRPr="00000000">
        <w:rPr>
          <w:rtl w:val="0"/>
        </w:rPr>
      </w:r>
    </w:p>
    <w:p w:rsidR="00000000" w:rsidDel="00000000" w:rsidP="00000000" w:rsidRDefault="00000000" w:rsidRPr="00000000" w14:paraId="00000017">
      <w:pPr>
        <w:jc w:val="both"/>
        <w:rPr/>
      </w:pPr>
      <w:r w:rsidDel="00000000" w:rsidR="00000000" w:rsidRPr="00000000">
        <w:rPr>
          <w:rtl w:val="0"/>
        </w:rPr>
      </w:r>
    </w:p>
    <w:p w:rsidR="00000000" w:rsidDel="00000000" w:rsidP="00000000" w:rsidRDefault="00000000" w:rsidRPr="00000000" w14:paraId="00000018">
      <w:pPr>
        <w:jc w:val="both"/>
        <w:rPr/>
      </w:pPr>
      <w:r w:rsidDel="00000000" w:rsidR="00000000" w:rsidRPr="00000000">
        <w:rPr>
          <w:rtl w:val="0"/>
        </w:rPr>
      </w:r>
    </w:p>
    <w:p w:rsidR="00000000" w:rsidDel="00000000" w:rsidP="00000000" w:rsidRDefault="00000000" w:rsidRPr="00000000" w14:paraId="00000019">
      <w:pPr>
        <w:jc w:val="both"/>
        <w:rPr/>
      </w:pPr>
      <w:r w:rsidDel="00000000" w:rsidR="00000000" w:rsidRPr="00000000">
        <w:rPr>
          <w:rtl w:val="0"/>
        </w:rPr>
      </w:r>
    </w:p>
    <w:p w:rsidR="00000000" w:rsidDel="00000000" w:rsidP="00000000" w:rsidRDefault="00000000" w:rsidRPr="00000000" w14:paraId="0000001A">
      <w:pPr>
        <w:jc w:val="both"/>
        <w:rPr/>
      </w:pPr>
      <w:r w:rsidDel="00000000" w:rsidR="00000000" w:rsidRPr="00000000">
        <w:rPr>
          <w:rtl w:val="0"/>
        </w:rPr>
      </w:r>
    </w:p>
    <w:p w:rsidR="00000000" w:rsidDel="00000000" w:rsidP="00000000" w:rsidRDefault="00000000" w:rsidRPr="00000000" w14:paraId="0000001B">
      <w:pPr>
        <w:pBdr>
          <w:top w:color="auto" w:space="0" w:sz="0" w:val="none"/>
          <w:left w:color="auto" w:space="0" w:sz="0" w:val="none"/>
          <w:bottom w:color="auto" w:space="0" w:sz="0" w:val="none"/>
          <w:right w:color="auto" w:space="0" w:sz="0" w:val="none"/>
          <w:between w:color="auto" w:space="0" w:sz="0" w:val="none"/>
        </w:pBdr>
        <w:shd w:fill="ffffff" w:val="clear"/>
        <w:spacing w:after="0" w:line="480" w:lineRule="auto"/>
        <w:jc w:val="both"/>
        <w:rPr>
          <w:rFonts w:ascii="Georgia" w:cs="Georgia" w:eastAsia="Georgia" w:hAnsi="Georgia"/>
          <w:b w:val="1"/>
          <w:bCs w:val="1"/>
          <w:sz w:val="21"/>
          <w:szCs w:val="21"/>
        </w:rPr>
      </w:pPr>
      <w:r w:rsidDel="00000000" w:rsidR="00000000" w:rsidRPr="00000000">
        <w:rPr>
          <w:rtl w:val="0"/>
        </w:rPr>
      </w:r>
    </w:p>
    <w:p w:rsidR="00000000" w:rsidDel="00000000" w:rsidP="00000000" w:rsidRDefault="00000000" w:rsidRPr="00000000" w14:paraId="0000001C">
      <w:pPr>
        <w:pBdr>
          <w:top w:color="auto" w:space="0" w:sz="0" w:val="none"/>
          <w:left w:color="auto" w:space="0" w:sz="0" w:val="none"/>
          <w:bottom w:color="auto" w:space="0" w:sz="0" w:val="none"/>
          <w:right w:color="auto" w:space="0" w:sz="0" w:val="none"/>
          <w:between w:color="auto" w:space="0" w:sz="0" w:val="none"/>
        </w:pBdr>
        <w:shd w:fill="ffffff" w:val="clear"/>
        <w:spacing w:after="0" w:line="480" w:lineRule="auto"/>
        <w:jc w:val="both"/>
        <w:rPr>
          <w:rFonts w:ascii="Georgia" w:cs="Georgia" w:eastAsia="Georgia" w:hAnsi="Georgia"/>
          <w:b w:val="1"/>
          <w:bCs w:val="1"/>
          <w:sz w:val="21"/>
          <w:szCs w:val="21"/>
        </w:rPr>
      </w:pPr>
      <w:r w:rsidDel="00000000" w:rsidR="00000000" w:rsidRPr="00000000">
        <w:rPr>
          <w:rFonts w:ascii="Georgia" w:cs="Georgia" w:eastAsia="Georgia" w:hAnsi="Georgia"/>
          <w:b w:val="1"/>
          <w:bCs w:val="1"/>
          <w:sz w:val="21"/>
          <w:szCs w:val="21"/>
          <w:rtl w:val="0"/>
        </w:rPr>
        <w:br w:type="textWrapping"/>
        <w:t xml:space="preserve">Q. What is this polymicrobial diagnosis (</w:t>
      </w:r>
      <w:sdt>
        <w:sdtPr>
          <w:id w:val="2080322681"/>
          <w:tag w:val="goog_rdk_2"/>
        </w:sdtPr>
        <w:sdtContent>
          <w:commentRangeStart w:id="2"/>
        </w:sdtContent>
      </w:sdt>
      <w:r w:rsidDel="00000000" w:rsidR="00000000" w:rsidRPr="00000000">
        <w:rPr>
          <w:rFonts w:ascii="Georgia" w:cs="Georgia" w:eastAsia="Georgia" w:hAnsi="Georgia"/>
          <w:b w:val="1"/>
          <w:bCs w:val="1"/>
          <w:sz w:val="21"/>
          <w:szCs w:val="21"/>
          <w:rtl w:val="0"/>
        </w:rPr>
        <w:t xml:space="preserve">figure</w:t>
      </w:r>
      <w:commentRangeEnd w:id="2"/>
      <w:r w:rsidDel="00000000" w:rsidR="00000000" w:rsidRPr="00000000">
        <w:commentReference w:id="2"/>
      </w:r>
      <w:r w:rsidDel="00000000" w:rsidR="00000000" w:rsidRPr="00000000">
        <w:rPr>
          <w:rFonts w:ascii="Georgia" w:cs="Georgia" w:eastAsia="Georgia" w:hAnsi="Georgia"/>
          <w:b w:val="1"/>
          <w:bCs w:val="1"/>
          <w:sz w:val="21"/>
          <w:szCs w:val="21"/>
          <w:rtl w:val="0"/>
        </w:rPr>
        <w:t xml:space="preserve">) in this patient?</w:t>
      </w:r>
    </w:p>
    <w:p w:rsidR="00000000" w:rsidDel="00000000" w:rsidP="00000000" w:rsidRDefault="00000000" w:rsidRPr="00000000" w14:paraId="0000001D">
      <w:pPr>
        <w:pBdr>
          <w:top w:color="auto" w:space="0" w:sz="0" w:val="none"/>
          <w:left w:color="auto" w:space="0" w:sz="0" w:val="none"/>
          <w:bottom w:color="auto" w:space="0" w:sz="0" w:val="none"/>
          <w:right w:color="auto" w:space="0" w:sz="0" w:val="none"/>
          <w:between w:color="auto" w:space="0" w:sz="0" w:val="none"/>
        </w:pBdr>
        <w:shd w:fill="ffffff" w:val="clear"/>
        <w:spacing w:after="0" w:line="360" w:lineRule="auto"/>
        <w:jc w:val="both"/>
        <w:rPr>
          <w:rFonts w:ascii="Georgia" w:cs="Georgia" w:eastAsia="Georgia" w:hAnsi="Georgia"/>
          <w:sz w:val="21"/>
          <w:szCs w:val="21"/>
        </w:rPr>
      </w:pPr>
      <w:r w:rsidDel="00000000" w:rsidR="00000000" w:rsidRPr="00000000">
        <w:rPr>
          <w:rFonts w:ascii="Georgia" w:cs="Georgia" w:eastAsia="Georgia" w:hAnsi="Georgia"/>
          <w:b w:val="1"/>
          <w:bCs w:val="1"/>
          <w:sz w:val="21"/>
          <w:szCs w:val="21"/>
          <w:rtl w:val="0"/>
        </w:rPr>
        <w:t xml:space="preserve">A.</w:t>
      </w:r>
      <w:r w:rsidDel="00000000" w:rsidR="00000000" w:rsidRPr="00000000">
        <w:rPr>
          <w:rFonts w:ascii="Georgia" w:cs="Georgia" w:eastAsia="Georgia" w:hAnsi="Georgia"/>
          <w:sz w:val="21"/>
          <w:szCs w:val="21"/>
          <w:rtl w:val="0"/>
        </w:rPr>
        <w:t xml:space="preserve"> Polymicrobial - Synergy</w:t>
      </w:r>
    </w:p>
    <w:p w:rsidR="00000000" w:rsidDel="00000000" w:rsidP="00000000" w:rsidRDefault="00000000" w:rsidRPr="00000000" w14:paraId="0000001E">
      <w:pPr>
        <w:pBdr>
          <w:top w:color="auto" w:space="0" w:sz="0" w:val="none"/>
          <w:left w:color="auto" w:space="0" w:sz="0" w:val="none"/>
          <w:bottom w:color="auto" w:space="0" w:sz="0" w:val="none"/>
          <w:right w:color="auto" w:space="0" w:sz="0" w:val="none"/>
          <w:between w:color="auto" w:space="0" w:sz="0" w:val="none"/>
        </w:pBdr>
        <w:shd w:fill="ffffff" w:val="clear"/>
        <w:spacing w:after="0" w:line="360" w:lineRule="auto"/>
        <w:jc w:val="both"/>
        <w:rPr>
          <w:rFonts w:ascii="Georgia" w:cs="Georgia" w:eastAsia="Georgia" w:hAnsi="Georgia"/>
          <w:sz w:val="21"/>
          <w:szCs w:val="21"/>
        </w:rPr>
      </w:pPr>
      <w:r w:rsidDel="00000000" w:rsidR="00000000" w:rsidRPr="00000000">
        <w:rPr>
          <w:rFonts w:ascii="Georgia" w:cs="Georgia" w:eastAsia="Georgia" w:hAnsi="Georgia"/>
          <w:b w:val="1"/>
          <w:bCs w:val="1"/>
          <w:sz w:val="21"/>
          <w:szCs w:val="21"/>
          <w:rtl w:val="0"/>
        </w:rPr>
        <w:t xml:space="preserve">B.</w:t>
      </w:r>
      <w:r w:rsidDel="00000000" w:rsidR="00000000" w:rsidRPr="00000000">
        <w:rPr>
          <w:rFonts w:ascii="Georgia" w:cs="Georgia" w:eastAsia="Georgia" w:hAnsi="Georgia"/>
          <w:sz w:val="21"/>
          <w:szCs w:val="21"/>
          <w:rtl w:val="0"/>
        </w:rPr>
        <w:t xml:space="preserve"> ⁠Polymicrobial- Antagonism</w:t>
      </w:r>
    </w:p>
    <w:p w:rsidR="00000000" w:rsidDel="00000000" w:rsidP="00000000" w:rsidRDefault="00000000" w:rsidRPr="00000000" w14:paraId="0000001F">
      <w:pPr>
        <w:pBdr>
          <w:top w:color="auto" w:space="0" w:sz="0" w:val="none"/>
          <w:left w:color="auto" w:space="0" w:sz="0" w:val="none"/>
          <w:bottom w:color="auto" w:space="0" w:sz="0" w:val="none"/>
          <w:right w:color="auto" w:space="0" w:sz="0" w:val="none"/>
          <w:between w:color="auto" w:space="0" w:sz="0" w:val="none"/>
        </w:pBdr>
        <w:shd w:fill="ffffff" w:val="clear"/>
        <w:spacing w:after="0" w:line="360" w:lineRule="auto"/>
        <w:jc w:val="both"/>
        <w:rPr>
          <w:rFonts w:ascii="Georgia" w:cs="Georgia" w:eastAsia="Georgia" w:hAnsi="Georgia"/>
          <w:sz w:val="21"/>
          <w:szCs w:val="21"/>
        </w:rPr>
      </w:pPr>
      <w:r w:rsidDel="00000000" w:rsidR="00000000" w:rsidRPr="00000000">
        <w:rPr>
          <w:rFonts w:ascii="Georgia" w:cs="Georgia" w:eastAsia="Georgia" w:hAnsi="Georgia"/>
          <w:b w:val="1"/>
          <w:bCs w:val="1"/>
          <w:sz w:val="21"/>
          <w:szCs w:val="21"/>
          <w:rtl w:val="0"/>
        </w:rPr>
        <w:t xml:space="preserve">C. </w:t>
      </w:r>
      <w:r w:rsidDel="00000000" w:rsidR="00000000" w:rsidRPr="00000000">
        <w:rPr>
          <w:rFonts w:ascii="Georgia" w:cs="Georgia" w:eastAsia="Georgia" w:hAnsi="Georgia"/>
          <w:sz w:val="21"/>
          <w:szCs w:val="21"/>
          <w:rtl w:val="0"/>
        </w:rPr>
        <w:t xml:space="preserve">⁠Polymicrobial- Mutualism</w:t>
      </w:r>
    </w:p>
    <w:p w:rsidR="00000000" w:rsidDel="00000000" w:rsidP="00000000" w:rsidRDefault="00000000" w:rsidRPr="00000000" w14:paraId="00000020">
      <w:pPr>
        <w:pBdr>
          <w:top w:color="auto" w:space="0" w:sz="0" w:val="none"/>
          <w:left w:color="auto" w:space="0" w:sz="0" w:val="none"/>
          <w:bottom w:color="auto" w:space="0" w:sz="0" w:val="none"/>
          <w:right w:color="auto" w:space="0" w:sz="0" w:val="none"/>
          <w:between w:color="auto" w:space="0" w:sz="0" w:val="none"/>
        </w:pBdr>
        <w:shd w:fill="ffffff" w:val="clear"/>
        <w:spacing w:after="200" w:line="480" w:lineRule="auto"/>
        <w:jc w:val="both"/>
        <w:rPr>
          <w:rFonts w:ascii="Georgia" w:cs="Georgia" w:eastAsia="Georgia" w:hAnsi="Georgia"/>
          <w:sz w:val="21"/>
          <w:szCs w:val="21"/>
        </w:rPr>
      </w:pPr>
      <w:r w:rsidDel="00000000" w:rsidR="00000000" w:rsidRPr="00000000">
        <w:rPr>
          <w:rFonts w:ascii="Georgia" w:cs="Georgia" w:eastAsia="Georgia" w:hAnsi="Georgia"/>
          <w:b w:val="1"/>
          <w:bCs w:val="1"/>
          <w:sz w:val="21"/>
          <w:szCs w:val="21"/>
          <w:rtl w:val="0"/>
        </w:rPr>
        <w:t xml:space="preserve">D. ⁠</w:t>
      </w:r>
      <w:r w:rsidDel="00000000" w:rsidR="00000000" w:rsidRPr="00000000">
        <w:rPr>
          <w:rFonts w:ascii="Georgia" w:cs="Georgia" w:eastAsia="Georgia" w:hAnsi="Georgia"/>
          <w:sz w:val="21"/>
          <w:szCs w:val="21"/>
          <w:rtl w:val="0"/>
        </w:rPr>
        <w:t xml:space="preserve">Polymicrobial- Commensalism</w:t>
      </w:r>
    </w:p>
    <w:p w:rsidR="00000000" w:rsidDel="00000000" w:rsidP="00000000" w:rsidRDefault="00000000" w:rsidRPr="00000000" w14:paraId="00000021">
      <w:pPr>
        <w:pBdr>
          <w:top w:color="auto" w:space="0" w:sz="0" w:val="none"/>
          <w:left w:color="auto" w:space="0" w:sz="0" w:val="none"/>
          <w:bottom w:color="auto" w:space="0" w:sz="0" w:val="none"/>
          <w:right w:color="auto" w:space="0" w:sz="0" w:val="none"/>
          <w:between w:color="auto" w:space="0" w:sz="0" w:val="none"/>
        </w:pBdr>
        <w:shd w:fill="ffffff" w:val="clear"/>
        <w:spacing w:after="0" w:line="360" w:lineRule="auto"/>
        <w:jc w:val="both"/>
        <w:rPr>
          <w:rFonts w:ascii="Georgia" w:cs="Georgia" w:eastAsia="Georgia" w:hAnsi="Georgia"/>
          <w:b w:val="1"/>
          <w:bCs w:val="1"/>
          <w:sz w:val="21"/>
          <w:szCs w:val="21"/>
        </w:rPr>
      </w:pPr>
      <w:r w:rsidDel="00000000" w:rsidR="00000000" w:rsidRPr="00000000">
        <w:rPr>
          <w:rtl w:val="0"/>
        </w:rPr>
      </w:r>
    </w:p>
    <w:p w:rsidR="00000000" w:rsidDel="00000000" w:rsidP="00000000" w:rsidRDefault="00000000" w:rsidRPr="00000000" w14:paraId="00000022">
      <w:pPr>
        <w:pBdr>
          <w:top w:color="auto" w:space="0" w:sz="0" w:val="none"/>
          <w:left w:color="auto" w:space="0" w:sz="0" w:val="none"/>
          <w:bottom w:color="auto" w:space="0" w:sz="0" w:val="none"/>
          <w:right w:color="auto" w:space="0" w:sz="0" w:val="none"/>
          <w:between w:color="auto" w:space="0" w:sz="0" w:val="none"/>
        </w:pBdr>
        <w:shd w:fill="ffffff" w:val="clear"/>
        <w:spacing w:after="0" w:line="360" w:lineRule="auto"/>
        <w:jc w:val="both"/>
        <w:rPr>
          <w:rFonts w:ascii="Century" w:cs="Century" w:eastAsia="Century" w:hAnsi="Century"/>
          <w:b w:val="1"/>
          <w:bCs w:val="1"/>
          <w:color w:val="d07638"/>
        </w:rPr>
        <w:sectPr>
          <w:type w:val="continuous"/>
          <w:pgSz w:h="16838" w:w="11906" w:orient="portrait"/>
          <w:pgMar w:bottom="720" w:top="720" w:left="720" w:right="720" w:header="283" w:footer="283"/>
          <w:cols w:equalWidth="0" w:num="1">
            <w:col w:space="0" w:w="10465.5"/>
          </w:cols>
        </w:sectPr>
      </w:pPr>
      <w:r w:rsidDel="00000000" w:rsidR="00000000" w:rsidRPr="00000000">
        <w:rPr>
          <w:rFonts w:ascii="Georgia" w:cs="Georgia" w:eastAsia="Georgia" w:hAnsi="Georgia"/>
          <w:b w:val="1"/>
          <w:bCs w:val="1"/>
          <w:sz w:val="21"/>
          <w:szCs w:val="21"/>
          <w:rtl w:val="0"/>
        </w:rPr>
        <w:t xml:space="preserve">Answer:- B.</w:t>
      </w:r>
      <w:r w:rsidDel="00000000" w:rsidR="00000000" w:rsidRPr="00000000">
        <w:rPr>
          <w:rFonts w:ascii="Georgia" w:cs="Georgia" w:eastAsia="Georgia" w:hAnsi="Georgia"/>
          <w:sz w:val="21"/>
          <w:szCs w:val="21"/>
          <w:rtl w:val="0"/>
        </w:rPr>
        <w:t xml:space="preserve"> Polymicrobial antagonism</w:t>
      </w:r>
      <w:r w:rsidDel="00000000" w:rsidR="00000000" w:rsidRPr="00000000">
        <w:rPr>
          <w:rtl w:val="0"/>
        </w:rPr>
      </w:r>
    </w:p>
    <w:p w:rsidR="00000000" w:rsidDel="00000000" w:rsidP="00000000" w:rsidRDefault="00000000" w:rsidRPr="00000000" w14:paraId="00000023">
      <w:pPr>
        <w:spacing w:before="200" w:line="276" w:lineRule="auto"/>
        <w:jc w:val="both"/>
        <w:rPr>
          <w:rFonts w:ascii="Century" w:cs="Century" w:eastAsia="Century" w:hAnsi="Century"/>
          <w:b w:val="1"/>
          <w:bCs w:val="1"/>
          <w:color w:val="d07638"/>
        </w:rPr>
      </w:pPr>
      <w:sdt>
        <w:sdtPr>
          <w:id w:val="981748697"/>
          <w:tag w:val="goog_rdk_3"/>
        </w:sdtPr>
        <w:sdtContent>
          <w:commentRangeStart w:id="3"/>
        </w:sdtContent>
      </w:sdt>
      <w:r w:rsidDel="00000000" w:rsidR="00000000" w:rsidRPr="00000000">
        <w:rPr>
          <w:rFonts w:ascii="Century" w:cs="Century" w:eastAsia="Century" w:hAnsi="Century"/>
          <w:b w:val="1"/>
          <w:bCs w:val="1"/>
          <w:color w:val="d07638"/>
          <w:rtl w:val="0"/>
        </w:rPr>
        <w:t xml:space="preserve">Comments</w:t>
      </w:r>
      <w:commentRangeEnd w:id="3"/>
      <w:r w:rsidDel="00000000" w:rsidR="00000000" w:rsidRPr="00000000">
        <w:commentReference w:id="3"/>
      </w:r>
      <w:r w:rsidDel="00000000" w:rsidR="00000000" w:rsidRPr="00000000">
        <w:rPr>
          <w:rtl w:val="0"/>
        </w:rPr>
      </w:r>
    </w:p>
    <w:p w:rsidR="00000000" w:rsidDel="00000000" w:rsidP="00000000" w:rsidRDefault="00000000" w:rsidRPr="00000000" w14:paraId="00000024">
      <w:pPr>
        <w:pBdr>
          <w:top w:color="auto" w:space="0" w:sz="0" w:val="none"/>
          <w:left w:color="auto" w:space="0" w:sz="0" w:val="none"/>
          <w:bottom w:color="auto" w:space="0" w:sz="0" w:val="none"/>
          <w:right w:color="auto" w:space="0" w:sz="0" w:val="none"/>
          <w:between w:color="auto" w:space="0" w:sz="0" w:val="none"/>
        </w:pBdr>
        <w:shd w:fill="ffffff" w:val="clear"/>
        <w:spacing w:line="360" w:lineRule="auto"/>
        <w:jc w:val="both"/>
        <w:rPr>
          <w:rFonts w:ascii="Georgia" w:cs="Georgia" w:eastAsia="Georgia" w:hAnsi="Georgia"/>
          <w:sz w:val="21"/>
          <w:szCs w:val="21"/>
          <w:highlight w:val="white"/>
        </w:rPr>
      </w:pPr>
      <w:r w:rsidDel="00000000" w:rsidR="00000000" w:rsidRPr="00000000">
        <w:rPr>
          <w:rFonts w:ascii="Georgia" w:cs="Georgia" w:eastAsia="Georgia" w:hAnsi="Georgia"/>
          <w:sz w:val="21"/>
          <w:szCs w:val="21"/>
          <w:highlight w:val="white"/>
          <w:rtl w:val="0"/>
        </w:rPr>
        <w:t xml:space="preserve">While Pseudomonas inhibits fungal growth and biofilm production, the interaction between Pseudomonas and Aspergillus is complex, with both organisms inhibiting each other’s growth. </w:t>
      </w:r>
      <w:r w:rsidDel="00000000" w:rsidR="00000000" w:rsidRPr="00000000">
        <w:rPr>
          <w:rFonts w:ascii="Georgia" w:cs="Georgia" w:eastAsia="Georgia" w:hAnsi="Georgia"/>
          <w:i w:val="1"/>
          <w:iCs w:val="1"/>
          <w:sz w:val="21"/>
          <w:szCs w:val="21"/>
          <w:highlight w:val="white"/>
          <w:rtl w:val="0"/>
        </w:rPr>
        <w:t xml:space="preserve">A. fumigatus </w:t>
      </w:r>
      <w:r w:rsidDel="00000000" w:rsidR="00000000" w:rsidRPr="00000000">
        <w:rPr>
          <w:rFonts w:ascii="Georgia" w:cs="Georgia" w:eastAsia="Georgia" w:hAnsi="Georgia"/>
          <w:sz w:val="21"/>
          <w:szCs w:val="21"/>
          <w:highlight w:val="white"/>
          <w:rtl w:val="0"/>
        </w:rPr>
        <w:t xml:space="preserve">not only endures the antifungal effects of </w:t>
      </w:r>
      <w:r w:rsidDel="00000000" w:rsidR="00000000" w:rsidRPr="00000000">
        <w:rPr>
          <w:rFonts w:ascii="Georgia" w:cs="Georgia" w:eastAsia="Georgia" w:hAnsi="Georgia"/>
          <w:i w:val="1"/>
          <w:iCs w:val="1"/>
          <w:sz w:val="21"/>
          <w:szCs w:val="21"/>
          <w:highlight w:val="white"/>
          <w:rtl w:val="0"/>
        </w:rPr>
        <w:t xml:space="preserve">P. aeruginosa</w:t>
      </w:r>
      <w:r w:rsidDel="00000000" w:rsidR="00000000" w:rsidRPr="00000000">
        <w:rPr>
          <w:rFonts w:ascii="Georgia" w:cs="Georgia" w:eastAsia="Georgia" w:hAnsi="Georgia"/>
          <w:sz w:val="21"/>
          <w:szCs w:val="21"/>
          <w:highlight w:val="white"/>
          <w:rtl w:val="0"/>
        </w:rPr>
        <w:t xml:space="preserve"> but also protects itself. Phenazines, the quorum sensing system, iron competition, bacteriophages, and small colony variants of </w:t>
      </w:r>
      <w:r w:rsidDel="00000000" w:rsidR="00000000" w:rsidRPr="00000000">
        <w:rPr>
          <w:rFonts w:ascii="Georgia" w:cs="Georgia" w:eastAsia="Georgia" w:hAnsi="Georgia"/>
          <w:i w:val="1"/>
          <w:iCs w:val="1"/>
          <w:sz w:val="21"/>
          <w:szCs w:val="21"/>
          <w:highlight w:val="white"/>
          <w:rtl w:val="0"/>
        </w:rPr>
        <w:t xml:space="preserve">A. fumigatus</w:t>
      </w:r>
      <w:r w:rsidDel="00000000" w:rsidR="00000000" w:rsidRPr="00000000">
        <w:rPr>
          <w:rFonts w:ascii="Georgia" w:cs="Georgia" w:eastAsia="Georgia" w:hAnsi="Georgia"/>
          <w:sz w:val="21"/>
          <w:szCs w:val="21"/>
          <w:highlight w:val="white"/>
          <w:rtl w:val="0"/>
        </w:rPr>
        <w:t xml:space="preserve"> inhibit fungal biofilm formation. Conversely, A. fumigatus’s siderophores, phenazine metabolic transformation, gliotoxin production, and reduced antibiotic sensitivity inhibit bacterial biofilm formation. Pseudomonas can inhibit the growth of Aspergillus conidia but cannot inhibit preformed hyphae, likely due to the gliotoxin production by the hyphae.</w:t>
      </w:r>
    </w:p>
    <w:p w:rsidR="00000000" w:rsidDel="00000000" w:rsidP="00000000" w:rsidRDefault="00000000" w:rsidRPr="00000000" w14:paraId="00000025">
      <w:pPr>
        <w:spacing w:before="200" w:line="276" w:lineRule="auto"/>
        <w:jc w:val="both"/>
        <w:rPr>
          <w:rFonts w:ascii="Century" w:cs="Century" w:eastAsia="Century" w:hAnsi="Century"/>
          <w:b w:val="1"/>
          <w:bCs w:val="1"/>
          <w:color w:val="d07638"/>
        </w:rPr>
      </w:pPr>
      <w:r w:rsidDel="00000000" w:rsidR="00000000" w:rsidRPr="00000000">
        <w:rPr>
          <w:rFonts w:ascii="Century" w:cs="Century" w:eastAsia="Century" w:hAnsi="Century"/>
          <w:b w:val="1"/>
          <w:bCs w:val="1"/>
          <w:color w:val="d07638"/>
          <w:rtl w:val="0"/>
        </w:rPr>
        <w:t xml:space="preserve">Reference</w:t>
      </w:r>
    </w:p>
    <w:p w:rsidR="00000000" w:rsidDel="00000000" w:rsidP="00000000" w:rsidRDefault="00000000" w:rsidRPr="00000000" w14:paraId="00000026">
      <w:pPr>
        <w:pBdr>
          <w:top w:color="auto" w:space="0" w:sz="0" w:val="none"/>
          <w:left w:color="auto" w:space="0" w:sz="0" w:val="none"/>
          <w:bottom w:color="auto" w:space="0" w:sz="0" w:val="none"/>
          <w:right w:color="auto" w:space="0" w:sz="0" w:val="none"/>
          <w:between w:color="auto" w:space="0" w:sz="0" w:val="none"/>
        </w:pBdr>
        <w:shd w:fill="ffffff" w:val="clear"/>
        <w:spacing w:line="360" w:lineRule="auto"/>
        <w:jc w:val="both"/>
        <w:rPr>
          <w:rFonts w:ascii="Century" w:cs="Century" w:eastAsia="Century" w:hAnsi="Century"/>
          <w:b w:val="1"/>
          <w:bCs w:val="1"/>
          <w:color w:val="d07638"/>
        </w:rPr>
      </w:pPr>
      <w:r w:rsidDel="00000000" w:rsidR="00000000" w:rsidRPr="00000000">
        <w:rPr>
          <w:rFonts w:ascii="Georgia" w:cs="Georgia" w:eastAsia="Georgia" w:hAnsi="Georgia"/>
          <w:sz w:val="21"/>
          <w:szCs w:val="21"/>
          <w:highlight w:val="white"/>
          <w:rtl w:val="0"/>
        </w:rPr>
        <w:t xml:space="preserve">Das D, Panda PK. BMJ Case Rep 2024;0:e259285. doi:10.1136/bcr-2023-259285</w:t>
      </w:r>
      <w:r w:rsidDel="00000000" w:rsidR="00000000" w:rsidRPr="00000000">
        <w:rPr>
          <w:rtl w:val="0"/>
        </w:rPr>
      </w:r>
    </w:p>
    <w:p w:rsidR="00000000" w:rsidDel="00000000" w:rsidP="00000000" w:rsidRDefault="00000000" w:rsidRPr="00000000" w14:paraId="00000027">
      <w:pPr>
        <w:pBdr>
          <w:top w:color="auto" w:space="0" w:sz="0" w:val="none"/>
          <w:left w:color="auto" w:space="0" w:sz="0" w:val="none"/>
          <w:bottom w:color="auto" w:space="0" w:sz="0" w:val="none"/>
          <w:right w:color="auto" w:space="0" w:sz="0" w:val="none"/>
          <w:between w:color="auto" w:space="0" w:sz="0" w:val="none"/>
        </w:pBdr>
        <w:shd w:fill="ffffff" w:val="clear"/>
        <w:spacing w:line="360" w:lineRule="auto"/>
        <w:jc w:val="both"/>
        <w:rPr>
          <w:rFonts w:ascii="Georgia" w:cs="Georgia" w:eastAsia="Georgia" w:hAnsi="Georgia"/>
          <w:sz w:val="21"/>
          <w:szCs w:val="21"/>
          <w:highlight w:val="white"/>
        </w:rPr>
      </w:pPr>
      <w:r w:rsidDel="00000000" w:rsidR="00000000" w:rsidRPr="00000000">
        <w:rPr>
          <w:rtl w:val="0"/>
        </w:rPr>
      </w:r>
    </w:p>
    <w:p w:rsidR="00000000" w:rsidDel="00000000" w:rsidP="00000000" w:rsidRDefault="00000000" w:rsidRPr="00000000" w14:paraId="00000028">
      <w:pPr>
        <w:spacing w:before="0" w:line="276" w:lineRule="auto"/>
        <w:jc w:val="both"/>
        <w:rPr>
          <w:rFonts w:ascii="Century" w:cs="Century" w:eastAsia="Century" w:hAnsi="Century"/>
          <w:b w:val="1"/>
          <w:bCs w:val="1"/>
          <w:color w:val="d07638"/>
        </w:rPr>
        <w:sectPr>
          <w:type w:val="continuous"/>
          <w:pgSz w:h="16838" w:w="11906" w:orient="portrait"/>
          <w:pgMar w:bottom="720" w:top="720" w:left="720" w:right="720" w:header="283" w:footer="283"/>
          <w:cols w:equalWidth="0" w:num="1">
            <w:col w:space="0" w:w="10465.5"/>
          </w:cols>
        </w:sectPr>
      </w:pPr>
      <w:r w:rsidDel="00000000" w:rsidR="00000000" w:rsidRPr="00000000">
        <w:rPr>
          <w:rtl w:val="0"/>
        </w:rPr>
      </w:r>
    </w:p>
    <w:p w:rsidR="00000000" w:rsidDel="00000000" w:rsidP="00000000" w:rsidRDefault="00000000" w:rsidRPr="00000000" w14:paraId="00000029">
      <w:pPr>
        <w:spacing w:before="0" w:line="276" w:lineRule="auto"/>
        <w:jc w:val="both"/>
        <w:rPr>
          <w:rFonts w:ascii="Century" w:cs="Century" w:eastAsia="Century" w:hAnsi="Century"/>
          <w:b w:val="1"/>
          <w:bCs w:val="1"/>
          <w:color w:val="d07638"/>
        </w:rPr>
      </w:pPr>
      <w:r w:rsidDel="00000000" w:rsidR="00000000" w:rsidRPr="00000000">
        <w:rPr>
          <w:rtl w:val="0"/>
        </w:rPr>
      </w:r>
    </w:p>
    <w:p w:rsidR="00000000" w:rsidDel="00000000" w:rsidP="00000000" w:rsidRDefault="00000000" w:rsidRPr="00000000" w14:paraId="0000002A">
      <w:pPr>
        <w:pBdr>
          <w:top w:color="auto" w:space="0" w:sz="0" w:val="none"/>
          <w:left w:color="auto" w:space="0" w:sz="0" w:val="none"/>
          <w:bottom w:color="auto" w:space="0" w:sz="0" w:val="none"/>
          <w:right w:color="auto" w:space="0" w:sz="0" w:val="none"/>
          <w:between w:color="auto" w:space="0" w:sz="0" w:val="none"/>
        </w:pBdr>
        <w:shd w:fill="ffffff" w:val="clear"/>
        <w:spacing w:after="0" w:line="360" w:lineRule="auto"/>
        <w:jc w:val="both"/>
        <w:rPr>
          <w:rFonts w:ascii="Georgia" w:cs="Georgia" w:eastAsia="Georgia" w:hAnsi="Georgia"/>
          <w:sz w:val="21"/>
          <w:szCs w:val="21"/>
          <w:highlight w:val="white"/>
        </w:rPr>
        <w:sectPr>
          <w:type w:val="continuous"/>
          <w:pgSz w:h="16838" w:w="11906" w:orient="portrait"/>
          <w:pgMar w:bottom="720" w:top="720" w:left="720" w:right="720" w:header="283" w:footer="283"/>
          <w:cols w:equalWidth="0" w:num="1">
            <w:col w:space="0" w:w="10465.5"/>
          </w:cols>
        </w:sectPr>
      </w:pPr>
      <w:r w:rsidDel="00000000" w:rsidR="00000000" w:rsidRPr="00000000">
        <w:rPr>
          <w:rtl w:val="0"/>
        </w:rPr>
      </w:r>
    </w:p>
    <w:p w:rsidR="00000000" w:rsidDel="00000000" w:rsidP="00000000" w:rsidRDefault="00000000" w:rsidRPr="00000000" w14:paraId="0000002B">
      <w:pPr>
        <w:pBdr>
          <w:top w:color="auto" w:space="0" w:sz="0" w:val="none"/>
          <w:left w:color="auto" w:space="0" w:sz="0" w:val="none"/>
          <w:bottom w:color="auto" w:space="0" w:sz="0" w:val="none"/>
          <w:right w:color="auto" w:space="0" w:sz="0" w:val="none"/>
          <w:between w:color="auto" w:space="0" w:sz="0" w:val="none"/>
        </w:pBdr>
        <w:shd w:fill="ffffff" w:val="clear"/>
        <w:spacing w:after="0" w:line="360" w:lineRule="auto"/>
        <w:jc w:val="both"/>
        <w:rPr>
          <w:rFonts w:ascii="Georgia" w:cs="Georgia" w:eastAsia="Georgia" w:hAnsi="Georgia"/>
          <w:sz w:val="21"/>
          <w:szCs w:val="21"/>
          <w:highlight w:val="white"/>
        </w:rPr>
      </w:pPr>
      <w:r w:rsidDel="00000000" w:rsidR="00000000" w:rsidRPr="00000000">
        <w:rPr>
          <w:rtl w:val="0"/>
        </w:rPr>
      </w:r>
    </w:p>
    <w:p w:rsidR="00000000" w:rsidDel="00000000" w:rsidP="00000000" w:rsidRDefault="00000000" w:rsidRPr="00000000" w14:paraId="0000002C">
      <w:pPr>
        <w:jc w:val="both"/>
        <w:rPr/>
      </w:pPr>
      <w:r w:rsidDel="00000000" w:rsidR="00000000" w:rsidRPr="00000000">
        <w:rPr>
          <w:rtl w:val="0"/>
        </w:rPr>
      </w:r>
    </w:p>
    <w:sectPr>
      <w:type w:val="continuous"/>
      <w:pgSz w:h="16838" w:w="11906" w:orient="portrait"/>
      <w:pgMar w:bottom="720" w:top="720" w:left="720" w:right="720" w:header="283" w:footer="283"/>
      <w:cols w:equalWidth="0" w:num="1">
        <w:col w:space="0" w:w="10465.5"/>
      </w:cols>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SASPI Office" w:id="2" w:date="2024-10-23T01:00:03Z">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Figure is a must to capture reader's understanding on the theme, one can use direct patient, environment, laboratory images or even hypothetically create a good image if real-world story doesn't demand the same.</w:t>
      </w:r>
    </w:p>
  </w:comment>
  <w:comment w:author="SASPI Office" w:id="0" w:date="2024-10-23T00:56:10Z">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This title represents the stewardship pearl/theme/story; choose a better one to educate the readers.</w:t>
      </w:r>
    </w:p>
  </w:comment>
  <w:comment w:author="SASPI Office" w:id="3" w:date="2024-10-23T01:04:34Z">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This section reflects writings on details about the story, which means one discussion paragraph about what happens in the case, how the answer is derived from all other options, and one or two references below depicting the answer theme.</w:t>
      </w:r>
    </w:p>
  </w:comment>
  <w:comment w:author="SASPI Office" w:id="1" w:date="2024-10-23T00:56:39Z">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Corresponding author's email</w:t>
      </w:r>
    </w:p>
  </w:comment>
</w:comments>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15:commentEx w15:paraId="00000039" w15:done="0"/>
  <w15:commentEx w15:paraId="0000003A" w15:done="0"/>
  <w15:commentEx w15:paraId="0000003B" w15:done="0"/>
  <w15:commentEx w15:paraId="0000003C" w15:done="0"/>
</w15:commentsEx>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Cambria"/>
  <w:font w:name="Arial"/>
  <w:font w:name="Chonburi">
    <w:embedRegular w:fontKey="{00000000-0000-0000-0000-000000000000}" r:id="rId1" w:subsetted="0"/>
  </w:font>
  <w:font w:name="Yeseva One">
    <w:embedRegular w:fontKey="{00000000-0000-0000-0000-000000000000}" r:id="rId2" w:subsetted="0"/>
  </w:font>
  <w:font w:name="Century"/>
  <w:font w:name="Century Gothic">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1">
    <w:pPr>
      <w:ind w:right="-577"/>
      <w:rPr>
        <w:rFonts w:ascii="Century" w:cs="Century" w:eastAsia="Century" w:hAnsi="Century"/>
        <w:sz w:val="16"/>
        <w:szCs w:val="16"/>
      </w:rPr>
    </w:pPr>
    <w:r w:rsidDel="00000000" w:rsidR="00000000" w:rsidRPr="00000000">
      <w:rPr>
        <w:rFonts w:ascii="Century" w:cs="Century" w:eastAsia="Century" w:hAnsi="Century"/>
        <w:sz w:val="16"/>
        <w:szCs w:val="16"/>
        <w:rtl w:val="0"/>
      </w:rPr>
      <w:br w:type="textWrapping"/>
      <w:t xml:space="preserve">Submit a Manuscript:</w:t>
    </w:r>
    <w:r w:rsidDel="00000000" w:rsidR="00000000" w:rsidRPr="00000000">
      <w:rPr>
        <w:rFonts w:ascii="Century" w:cs="Century" w:eastAsia="Century" w:hAnsi="Century"/>
        <w:color w:val="d07638"/>
        <w:sz w:val="16"/>
        <w:szCs w:val="16"/>
        <w:rtl w:val="0"/>
      </w:rPr>
      <w:t xml:space="preserve"> https://jaspi.saspi.in/submission/</w:t>
    </w:r>
    <w:r w:rsidDel="00000000" w:rsidR="00000000" w:rsidRPr="00000000">
      <w:rPr>
        <w:rFonts w:ascii="Century" w:cs="Century" w:eastAsia="Century" w:hAnsi="Century"/>
        <w:sz w:val="16"/>
        <w:szCs w:val="16"/>
        <w:rtl w:val="0"/>
      </w:rPr>
      <w:t xml:space="preserve">                                                                                                                        ISSN: 3048-4510 (Online)</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-59999</wp:posOffset>
              </wp:positionH>
              <wp:positionV relativeFrom="paragraph">
                <wp:posOffset>0</wp:posOffset>
              </wp:positionV>
              <wp:extent cx="6819900" cy="76525"/>
              <wp:effectExtent b="0" l="0" r="0" t="0"/>
              <wp:wrapNone/>
              <wp:docPr id="168" name=""/>
              <a:graphic>
                <a:graphicData uri="http://schemas.microsoft.com/office/word/2010/wordprocessingShape">
                  <wps:wsp>
                    <wps:cNvSpPr/>
                    <wps:cNvPr id="2" name="Shape 2"/>
                    <wps:spPr>
                      <a:xfrm>
                        <a:off x="2008500" y="3773700"/>
                        <a:ext cx="6675000" cy="12600"/>
                      </a:xfrm>
                      <a:prstGeom prst="rect">
                        <a:avLst/>
                      </a:prstGeom>
                      <a:solidFill>
                        <a:srgbClr val="218CA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-59999</wp:posOffset>
              </wp:positionH>
              <wp:positionV relativeFrom="paragraph">
                <wp:posOffset>0</wp:posOffset>
              </wp:positionV>
              <wp:extent cx="6819900" cy="76525"/>
              <wp:effectExtent b="0" l="0" r="0" t="0"/>
              <wp:wrapNone/>
              <wp:docPr id="168" name="image7.png"/>
              <a:graphic>
                <a:graphicData uri="http://schemas.openxmlformats.org/drawingml/2006/picture">
                  <pic:pic>
                    <pic:nvPicPr>
                      <pic:cNvPr id="0" name="image7.png"/>
                      <pic:cNvPicPr preferRelativeResize="0"/>
                    </pic:nvPicPr>
                    <pic:blipFill>
                      <a:blip r:embed="rId1"/>
                      <a:srcRect/>
                      <a:stretch>
                        <a:fillRect/>
                      </a:stretch>
                    </pic:blipFill>
                    <pic:spPr>
                      <a:xfrm>
                        <a:off x="0" y="0"/>
                        <a:ext cx="6819900" cy="76525"/>
                      </a:xfrm>
                      <a:prstGeom prst="rect"/>
                      <a:ln/>
                    </pic:spPr>
                  </pic:pic>
                </a:graphicData>
              </a:graphic>
            </wp:anchor>
          </w:drawing>
        </mc:Fallback>
      </mc:AlternateContent>
    </w:r>
  </w:p>
  <w:p w:rsidR="00000000" w:rsidDel="00000000" w:rsidP="00000000" w:rsidRDefault="00000000" w:rsidRPr="00000000" w14:paraId="00000032">
    <w:pPr>
      <w:ind w:right="-577"/>
      <w:rPr>
        <w:rFonts w:ascii="Century" w:cs="Century" w:eastAsia="Century" w:hAnsi="Century"/>
        <w:sz w:val="10"/>
        <w:szCs w:val="10"/>
      </w:rPr>
    </w:pPr>
    <w:r w:rsidDel="00000000" w:rsidR="00000000" w:rsidRPr="00000000">
      <w:rPr>
        <w:rFonts w:ascii="Century" w:cs="Century" w:eastAsia="Century" w:hAnsi="Century"/>
        <w:sz w:val="16"/>
        <w:szCs w:val="16"/>
        <w:rtl w:val="0"/>
      </w:rPr>
      <w:t xml:space="preserve">SASPI:</w:t>
    </w:r>
    <w:r w:rsidDel="00000000" w:rsidR="00000000" w:rsidRPr="00000000">
      <w:rPr>
        <w:rFonts w:ascii="Century" w:cs="Century" w:eastAsia="Century" w:hAnsi="Century"/>
        <w:color w:val="d07638"/>
        <w:sz w:val="16"/>
        <w:szCs w:val="16"/>
        <w:rtl w:val="0"/>
      </w:rPr>
      <w:t xml:space="preserve"> </w:t>
    </w:r>
    <w:hyperlink r:id="rId2">
      <w:r w:rsidDel="00000000" w:rsidR="00000000" w:rsidRPr="00000000">
        <w:rPr>
          <w:rFonts w:ascii="Century" w:cs="Century" w:eastAsia="Century" w:hAnsi="Century"/>
          <w:color w:val="d07638"/>
          <w:sz w:val="16"/>
          <w:szCs w:val="16"/>
          <w:rtl w:val="0"/>
        </w:rPr>
        <w:t xml:space="preserve">https://saspi.in/</w:t>
      </w:r>
    </w:hyperlink>
    <w:r w:rsidDel="00000000" w:rsidR="00000000" w:rsidRPr="00000000">
      <w:rPr>
        <w:rFonts w:ascii="Century" w:cs="Century" w:eastAsia="Century" w:hAnsi="Century"/>
        <w:color w:val="d07638"/>
        <w:sz w:val="16"/>
        <w:szCs w:val="16"/>
        <w:rtl w:val="0"/>
      </w:rPr>
      <w:t xml:space="preserve"> </w:t>
    </w:r>
    <w:r w:rsidDel="00000000" w:rsidR="00000000" w:rsidRPr="00000000">
      <w:rPr>
        <w:rFonts w:ascii="Century" w:cs="Century" w:eastAsia="Century" w:hAnsi="Century"/>
        <w:color w:val="288fa4"/>
        <w:sz w:val="16"/>
        <w:szCs w:val="16"/>
        <w:rtl w:val="0"/>
      </w:rPr>
      <w:t xml:space="preserve">  </w:t>
    </w:r>
    <w:r w:rsidDel="00000000" w:rsidR="00000000" w:rsidRPr="00000000">
      <w:rPr>
        <w:rFonts w:ascii="Century" w:cs="Century" w:eastAsia="Century" w:hAnsi="Century"/>
        <w:sz w:val="16"/>
        <w:szCs w:val="16"/>
        <w:rtl w:val="0"/>
      </w:rPr>
      <w:t xml:space="preserve">                                                                                                                                                                              DOI: </w:t>
      <w:br w:type="textWrapping"/>
    </w:r>
    <w:r w:rsidDel="00000000" w:rsidR="00000000" w:rsidRPr="00000000">
      <w:rPr>
        <w:rtl w:val="0"/>
      </w:rPr>
    </w:r>
  </w:p>
  <w:p w:rsidR="00000000" w:rsidDel="00000000" w:rsidP="00000000" w:rsidRDefault="00000000" w:rsidRPr="00000000" w14:paraId="00000033">
    <w:pPr>
      <w:ind w:left="141.73228346456688" w:right="-294" w:firstLine="0"/>
      <w:rPr>
        <w:rFonts w:ascii="Century Gothic" w:cs="Century Gothic" w:eastAsia="Century Gothic" w:hAnsi="Century Gothic"/>
        <w:sz w:val="16"/>
        <w:szCs w:val="16"/>
      </w:rPr>
    </w:pPr>
    <w:r w:rsidDel="00000000" w:rsidR="00000000" w:rsidRPr="00000000">
      <w:rPr>
        <w:rFonts w:ascii="Century Gothic" w:cs="Century Gothic" w:eastAsia="Century Gothic" w:hAnsi="Century Gothic"/>
        <w:sz w:val="14"/>
        <w:szCs w:val="14"/>
        <w:rtl w:val="0"/>
      </w:rPr>
      <w:t xml:space="preserve">  </w:t>
    </w:r>
    <w:r w:rsidDel="00000000" w:rsidR="00000000" w:rsidRPr="00000000">
      <w:rPr>
        <w:rFonts w:ascii="Century Gothic" w:cs="Century Gothic" w:eastAsia="Century Gothic" w:hAnsi="Century Gothic"/>
        <w:sz w:val="16"/>
        <w:szCs w:val="16"/>
        <w:rtl w:val="0"/>
      </w:rPr>
      <w:t xml:space="preserve">  Copyright © Author(s) 2026. JASPI- Journal of Antimicrobial Stewardship Practices and Infectious Diseases.</w:t>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5372100</wp:posOffset>
          </wp:positionH>
          <wp:positionV relativeFrom="paragraph">
            <wp:posOffset>28575</wp:posOffset>
          </wp:positionV>
          <wp:extent cx="515319" cy="183074"/>
          <wp:effectExtent b="0" l="0" r="0" t="0"/>
          <wp:wrapNone/>
          <wp:docPr id="172" name="image1.png"/>
          <a:graphic>
            <a:graphicData uri="http://schemas.openxmlformats.org/drawingml/2006/picture">
              <pic:pic>
                <pic:nvPicPr>
                  <pic:cNvPr id="0" name="image1.png"/>
                  <pic:cNvPicPr preferRelativeResize="0"/>
                </pic:nvPicPr>
                <pic:blipFill>
                  <a:blip r:embed="rId3"/>
                  <a:srcRect b="0" l="0" r="0" t="0"/>
                  <a:stretch>
                    <a:fillRect/>
                  </a:stretch>
                </pic:blipFill>
                <pic:spPr>
                  <a:xfrm>
                    <a:off x="0" y="0"/>
                    <a:ext cx="515319" cy="183074"/>
                  </a:xfrm>
                  <a:prstGeom prst="rect"/>
                  <a:ln/>
                </pic:spPr>
              </pic:pic>
            </a:graphicData>
          </a:graphic>
        </wp:anchor>
      </w:drawing>
    </w:r>
  </w:p>
  <w:p w:rsidR="00000000" w:rsidDel="00000000" w:rsidP="00000000" w:rsidRDefault="00000000" w:rsidRPr="00000000" w14:paraId="0000003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41.73228346456688" w:right="-294" w:firstLine="0"/>
      <w:jc w:val="center"/>
      <w:rPr>
        <w:rFonts w:ascii="Century Gothic" w:cs="Century Gothic" w:eastAsia="Century Gothic" w:hAnsi="Century Gothic"/>
        <w:sz w:val="14"/>
        <w:szCs w:val="14"/>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5">
    <w:pPr>
      <w:ind w:right="-577"/>
      <w:rPr>
        <w:rFonts w:ascii="Century" w:cs="Century" w:eastAsia="Century" w:hAnsi="Century"/>
        <w:sz w:val="16"/>
        <w:szCs w:val="16"/>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-59999</wp:posOffset>
              </wp:positionH>
              <wp:positionV relativeFrom="paragraph">
                <wp:posOffset>0</wp:posOffset>
              </wp:positionV>
              <wp:extent cx="6819900" cy="76525"/>
              <wp:effectExtent b="0" l="0" r="0" t="0"/>
              <wp:wrapNone/>
              <wp:docPr id="165" name=""/>
              <a:graphic>
                <a:graphicData uri="http://schemas.microsoft.com/office/word/2010/wordprocessingShape">
                  <wps:wsp>
                    <wps:cNvSpPr/>
                    <wps:cNvPr id="2" name="Shape 2"/>
                    <wps:spPr>
                      <a:xfrm>
                        <a:off x="2008500" y="3773700"/>
                        <a:ext cx="6675000" cy="12600"/>
                      </a:xfrm>
                      <a:prstGeom prst="rect">
                        <a:avLst/>
                      </a:prstGeom>
                      <a:solidFill>
                        <a:srgbClr val="218CA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-59999</wp:posOffset>
              </wp:positionH>
              <wp:positionV relativeFrom="paragraph">
                <wp:posOffset>0</wp:posOffset>
              </wp:positionV>
              <wp:extent cx="6819900" cy="76525"/>
              <wp:effectExtent b="0" l="0" r="0" t="0"/>
              <wp:wrapNone/>
              <wp:docPr id="165"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6819900" cy="76525"/>
                      </a:xfrm>
                      <a:prstGeom prst="rect"/>
                      <a:ln/>
                    </pic:spPr>
                  </pic:pic>
                </a:graphicData>
              </a:graphic>
            </wp:anchor>
          </w:drawing>
        </mc:Fallback>
      </mc:AlternateContent>
    </w:r>
  </w:p>
  <w:p w:rsidR="00000000" w:rsidDel="00000000" w:rsidP="00000000" w:rsidRDefault="00000000" w:rsidRPr="00000000" w14:paraId="00000036">
    <w:pPr>
      <w:ind w:right="-577"/>
      <w:rPr>
        <w:rFonts w:ascii="Century" w:cs="Century" w:eastAsia="Century" w:hAnsi="Century"/>
        <w:sz w:val="16"/>
        <w:szCs w:val="16"/>
      </w:rPr>
    </w:pPr>
    <w:r w:rsidDel="00000000" w:rsidR="00000000" w:rsidRPr="00000000">
      <w:rPr>
        <w:rFonts w:ascii="Century" w:cs="Century" w:eastAsia="Century" w:hAnsi="Century"/>
        <w:sz w:val="16"/>
        <w:szCs w:val="16"/>
        <w:rtl w:val="0"/>
      </w:rPr>
      <w:t xml:space="preserve">Submit a Manuscript:</w:t>
    </w:r>
    <w:r w:rsidDel="00000000" w:rsidR="00000000" w:rsidRPr="00000000">
      <w:rPr>
        <w:rFonts w:ascii="Century" w:cs="Century" w:eastAsia="Century" w:hAnsi="Century"/>
        <w:color w:val="d07638"/>
        <w:sz w:val="16"/>
        <w:szCs w:val="16"/>
        <w:rtl w:val="0"/>
      </w:rPr>
      <w:t xml:space="preserve"> https://jaspi.saspi.in/submission/</w:t>
    </w:r>
    <w:r w:rsidDel="00000000" w:rsidR="00000000" w:rsidRPr="00000000">
      <w:rPr>
        <w:rFonts w:ascii="Century" w:cs="Century" w:eastAsia="Century" w:hAnsi="Century"/>
        <w:sz w:val="16"/>
        <w:szCs w:val="16"/>
        <w:rtl w:val="0"/>
      </w:rPr>
      <w:t xml:space="preserve">                                                                                                                        ISSN: 3048-4510 (Online)</w:t>
    </w:r>
  </w:p>
  <w:p w:rsidR="00000000" w:rsidDel="00000000" w:rsidP="00000000" w:rsidRDefault="00000000" w:rsidRPr="00000000" w14:paraId="00000037">
    <w:pPr>
      <w:ind w:right="-577"/>
      <w:rPr>
        <w:rFonts w:ascii="Century" w:cs="Century" w:eastAsia="Century" w:hAnsi="Century"/>
        <w:sz w:val="10"/>
        <w:szCs w:val="10"/>
      </w:rPr>
    </w:pPr>
    <w:r w:rsidDel="00000000" w:rsidR="00000000" w:rsidRPr="00000000">
      <w:rPr>
        <w:rFonts w:ascii="Century" w:cs="Century" w:eastAsia="Century" w:hAnsi="Century"/>
        <w:sz w:val="16"/>
        <w:szCs w:val="16"/>
        <w:rtl w:val="0"/>
      </w:rPr>
      <w:t xml:space="preserve">SASPI:</w:t>
    </w:r>
    <w:r w:rsidDel="00000000" w:rsidR="00000000" w:rsidRPr="00000000">
      <w:rPr>
        <w:rFonts w:ascii="Century" w:cs="Century" w:eastAsia="Century" w:hAnsi="Century"/>
        <w:color w:val="d07638"/>
        <w:sz w:val="16"/>
        <w:szCs w:val="16"/>
        <w:rtl w:val="0"/>
      </w:rPr>
      <w:t xml:space="preserve"> </w:t>
    </w:r>
    <w:hyperlink r:id="rId2">
      <w:r w:rsidDel="00000000" w:rsidR="00000000" w:rsidRPr="00000000">
        <w:rPr>
          <w:rFonts w:ascii="Century" w:cs="Century" w:eastAsia="Century" w:hAnsi="Century"/>
          <w:color w:val="d07638"/>
          <w:sz w:val="16"/>
          <w:szCs w:val="16"/>
          <w:rtl w:val="0"/>
        </w:rPr>
        <w:t xml:space="preserve">https://saspi.in/</w:t>
      </w:r>
    </w:hyperlink>
    <w:r w:rsidDel="00000000" w:rsidR="00000000" w:rsidRPr="00000000">
      <w:rPr>
        <w:rFonts w:ascii="Century" w:cs="Century" w:eastAsia="Century" w:hAnsi="Century"/>
        <w:color w:val="d07638"/>
        <w:sz w:val="16"/>
        <w:szCs w:val="16"/>
        <w:rtl w:val="0"/>
      </w:rPr>
      <w:t xml:space="preserve"> </w:t>
    </w:r>
    <w:r w:rsidDel="00000000" w:rsidR="00000000" w:rsidRPr="00000000">
      <w:rPr>
        <w:rFonts w:ascii="Century" w:cs="Century" w:eastAsia="Century" w:hAnsi="Century"/>
        <w:color w:val="288fa4"/>
        <w:sz w:val="16"/>
        <w:szCs w:val="16"/>
        <w:rtl w:val="0"/>
      </w:rPr>
      <w:t xml:space="preserve">  </w:t>
    </w:r>
    <w:r w:rsidDel="00000000" w:rsidR="00000000" w:rsidRPr="00000000">
      <w:rPr>
        <w:rFonts w:ascii="Century" w:cs="Century" w:eastAsia="Century" w:hAnsi="Century"/>
        <w:sz w:val="16"/>
        <w:szCs w:val="16"/>
        <w:rtl w:val="0"/>
      </w:rPr>
      <w:t xml:space="preserve">                                                                                                                                                                              DOI: </w:t>
      <w:br w:type="textWrapping"/>
    </w:r>
    <w:r w:rsidDel="00000000" w:rsidR="00000000" w:rsidRPr="00000000">
      <w:rPr>
        <w:rtl w:val="0"/>
      </w:rPr>
    </w:r>
  </w:p>
  <w:p w:rsidR="00000000" w:rsidDel="00000000" w:rsidP="00000000" w:rsidRDefault="00000000" w:rsidRPr="00000000" w14:paraId="00000038">
    <w:pPr>
      <w:ind w:left="141.73228346456688" w:right="-294" w:firstLine="0"/>
      <w:rPr>
        <w:rFonts w:ascii="Century Gothic" w:cs="Century Gothic" w:eastAsia="Century Gothic" w:hAnsi="Century Gothic"/>
        <w:sz w:val="16"/>
        <w:szCs w:val="16"/>
      </w:rPr>
    </w:pPr>
    <w:r w:rsidDel="00000000" w:rsidR="00000000" w:rsidRPr="00000000">
      <w:rPr>
        <w:rFonts w:ascii="Century Gothic" w:cs="Century Gothic" w:eastAsia="Century Gothic" w:hAnsi="Century Gothic"/>
        <w:sz w:val="14"/>
        <w:szCs w:val="14"/>
        <w:rtl w:val="0"/>
      </w:rPr>
      <w:t xml:space="preserve">  </w:t>
    </w:r>
    <w:r w:rsidDel="00000000" w:rsidR="00000000" w:rsidRPr="00000000">
      <w:rPr>
        <w:rFonts w:ascii="Century Gothic" w:cs="Century Gothic" w:eastAsia="Century Gothic" w:hAnsi="Century Gothic"/>
        <w:sz w:val="16"/>
        <w:szCs w:val="16"/>
        <w:rtl w:val="0"/>
      </w:rPr>
      <w:t xml:space="preserve">  Copyright © Author(s) 2026. JASPI- Journal of Antimicrobial Stewardship Practices and Infectious Diseases.</w:t>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5372100</wp:posOffset>
          </wp:positionH>
          <wp:positionV relativeFrom="paragraph">
            <wp:posOffset>28575</wp:posOffset>
          </wp:positionV>
          <wp:extent cx="515319" cy="183074"/>
          <wp:effectExtent b="0" l="0" r="0" t="0"/>
          <wp:wrapNone/>
          <wp:docPr id="173" name="image1.png"/>
          <a:graphic>
            <a:graphicData uri="http://schemas.openxmlformats.org/drawingml/2006/picture">
              <pic:pic>
                <pic:nvPicPr>
                  <pic:cNvPr id="0" name="image1.png"/>
                  <pic:cNvPicPr preferRelativeResize="0"/>
                </pic:nvPicPr>
                <pic:blipFill>
                  <a:blip r:embed="rId3"/>
                  <a:srcRect b="0" l="0" r="0" t="0"/>
                  <a:stretch>
                    <a:fillRect/>
                  </a:stretch>
                </pic:blipFill>
                <pic:spPr>
                  <a:xfrm>
                    <a:off x="0" y="0"/>
                    <a:ext cx="515319" cy="183074"/>
                  </a:xfrm>
                  <a:prstGeom prst="rect"/>
                  <a:ln/>
                </pic:spPr>
              </pic:pic>
            </a:graphicData>
          </a:graphic>
        </wp:anchor>
      </w:drawing>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D">
    <w:pPr>
      <w:spacing w:before="79" w:lineRule="auto"/>
      <w:ind w:right="-1003"/>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2E">
    <w:pPr>
      <w:ind w:left="-850" w:right="-450" w:firstLine="0"/>
      <w:jc w:val="left"/>
      <w:rPr>
        <w:rFonts w:ascii="Calibri" w:cs="Calibri" w:eastAsia="Calibri" w:hAnsi="Calibri"/>
        <w:b w:val="1"/>
        <w:bCs w:val="1"/>
        <w:color w:val="218ca5"/>
        <w:sz w:val="16"/>
        <w:szCs w:val="16"/>
      </w:rPr>
    </w:pPr>
    <w:r w:rsidDel="00000000" w:rsidR="00000000" w:rsidRPr="00000000">
      <w:rPr>
        <w:rFonts w:ascii="Calibri" w:cs="Calibri" w:eastAsia="Calibri" w:hAnsi="Calibri"/>
        <w:sz w:val="16"/>
        <w:szCs w:val="16"/>
        <w:rtl w:val="0"/>
      </w:rPr>
      <w:t xml:space="preserve">                                                                                                                                                                                                                                            </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-25399</wp:posOffset>
              </wp:positionH>
              <wp:positionV relativeFrom="paragraph">
                <wp:posOffset>0</wp:posOffset>
              </wp:positionV>
              <wp:extent cx="6819900" cy="76525"/>
              <wp:effectExtent b="0" l="0" r="0" t="0"/>
              <wp:wrapNone/>
              <wp:docPr id="166" name=""/>
              <a:graphic>
                <a:graphicData uri="http://schemas.microsoft.com/office/word/2010/wordprocessingShape">
                  <wps:wsp>
                    <wps:cNvSpPr/>
                    <wps:cNvPr id="2" name="Shape 2"/>
                    <wps:spPr>
                      <a:xfrm>
                        <a:off x="2008500" y="3773700"/>
                        <a:ext cx="6675000" cy="12600"/>
                      </a:xfrm>
                      <a:prstGeom prst="rect">
                        <a:avLst/>
                      </a:prstGeom>
                      <a:solidFill>
                        <a:srgbClr val="218CA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-25399</wp:posOffset>
              </wp:positionH>
              <wp:positionV relativeFrom="paragraph">
                <wp:posOffset>0</wp:posOffset>
              </wp:positionV>
              <wp:extent cx="6819900" cy="76525"/>
              <wp:effectExtent b="0" l="0" r="0" t="0"/>
              <wp:wrapNone/>
              <wp:docPr id="166" name="image5.png"/>
              <a:graphic>
                <a:graphicData uri="http://schemas.openxmlformats.org/drawingml/2006/picture">
                  <pic:pic>
                    <pic:nvPicPr>
                      <pic:cNvPr id="0" name="image5.png"/>
                      <pic:cNvPicPr preferRelativeResize="0"/>
                    </pic:nvPicPr>
                    <pic:blipFill>
                      <a:blip r:embed="rId1"/>
                      <a:srcRect/>
                      <a:stretch>
                        <a:fillRect/>
                      </a:stretch>
                    </pic:blipFill>
                    <pic:spPr>
                      <a:xfrm>
                        <a:off x="0" y="0"/>
                        <a:ext cx="6819900" cy="76525"/>
                      </a:xfrm>
                      <a:prstGeom prst="rect"/>
                      <a:ln/>
                    </pic:spPr>
                  </pic:pic>
                </a:graphicData>
              </a:graphic>
            </wp:anchor>
          </w:drawing>
        </mc:Fallback>
      </mc:AlternateConten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F">
    <w:pPr>
      <w:spacing w:before="200" w:lineRule="auto"/>
      <w:ind w:left="1842.5196850393697" w:right="-443.38582677165334" w:firstLine="0"/>
      <w:rPr>
        <w:rFonts w:ascii="Yeseva One" w:cs="Yeseva One" w:eastAsia="Yeseva One" w:hAnsi="Yeseva One"/>
        <w:b w:val="1"/>
        <w:bCs w:val="1"/>
        <w:color w:val="218ca5"/>
        <w:sz w:val="36"/>
        <w:szCs w:val="36"/>
      </w:rPr>
    </w:pPr>
    <w:r w:rsidDel="00000000" w:rsidR="00000000" w:rsidRPr="00000000">
      <w:rPr>
        <w:rFonts w:ascii="Yeseva One" w:cs="Yeseva One" w:eastAsia="Yeseva One" w:hAnsi="Yeseva One"/>
        <w:b w:val="1"/>
        <w:bCs w:val="1"/>
        <w:color w:val="218ca5"/>
        <w:sz w:val="36"/>
        <w:szCs w:val="36"/>
        <w:rtl w:val="0"/>
      </w:rPr>
      <w:t xml:space="preserve">Journal of Antimicrobial Stewardship Practices   and Infectious diseases</w:t>
    </w:r>
    <w:r w:rsidDel="00000000" w:rsidR="00000000" w:rsidRPr="00000000">
      <w:drawing>
        <wp:anchor allowOverlap="1" behindDoc="1" distB="0" distT="0" distL="0" distR="0" hidden="0" layoutInCell="1" locked="0" relativeHeight="0" simplePos="0">
          <wp:simplePos x="0" y="0"/>
          <wp:positionH relativeFrom="column">
            <wp:posOffset>47625</wp:posOffset>
          </wp:positionH>
          <wp:positionV relativeFrom="paragraph">
            <wp:posOffset>-171433</wp:posOffset>
          </wp:positionV>
          <wp:extent cx="928688" cy="882253"/>
          <wp:effectExtent b="0" l="0" r="0" t="0"/>
          <wp:wrapNone/>
          <wp:docPr descr="https://lh7-us.googleusercontent.com/MkbYomUk6EkI6ngQmBbJ8EUitK23AY-y2P8GRNNqorLpWW_LgD7bE6UMRkEfc-y4mDOYdGuGk9x5dWviNlNDmUcxCeFyOcGsg6Jsq44VMpWDF6zpmO5uG7-z96mZ4iIitHS4X3XTkmXi" id="170" name="image3.png"/>
          <a:graphic>
            <a:graphicData uri="http://schemas.openxmlformats.org/drawingml/2006/picture">
              <pic:pic>
                <pic:nvPicPr>
                  <pic:cNvPr descr="https://lh7-us.googleusercontent.com/MkbYomUk6EkI6ngQmBbJ8EUitK23AY-y2P8GRNNqorLpWW_LgD7bE6UMRkEfc-y4mDOYdGuGk9x5dWviNlNDmUcxCeFyOcGsg6Jsq44VMpWDF6zpmO5uG7-z96mZ4iIitHS4X3XTkmXi" id="0" name="image3.png"/>
                  <pic:cNvPicPr preferRelativeResize="0"/>
                </pic:nvPicPr>
                <pic:blipFill>
                  <a:blip r:embed="rId1"/>
                  <a:srcRect b="0" l="0" r="0" t="0"/>
                  <a:stretch>
                    <a:fillRect/>
                  </a:stretch>
                </pic:blipFill>
                <pic:spPr>
                  <a:xfrm>
                    <a:off x="0" y="0"/>
                    <a:ext cx="928688" cy="882253"/>
                  </a:xfrm>
                  <a:prstGeom prst="rect"/>
                  <a:ln/>
                </pic:spPr>
              </pic:pic>
            </a:graphicData>
          </a:graphic>
        </wp:anchor>
      </w:drawing>
    </w:r>
  </w:p>
  <w:p w:rsidR="00000000" w:rsidDel="00000000" w:rsidP="00000000" w:rsidRDefault="00000000" w:rsidRPr="00000000" w14:paraId="00000030">
    <w:pPr>
      <w:tabs>
        <w:tab w:val="center" w:leader="none" w:pos="4680"/>
        <w:tab w:val="right" w:leader="none" w:pos="9360"/>
      </w:tabs>
      <w:spacing w:after="0" w:lineRule="auto"/>
      <w:rPr>
        <w:rFonts w:ascii="Cambria" w:cs="Cambria" w:eastAsia="Cambria" w:hAnsi="Cambria"/>
        <w:i w:val="1"/>
        <w:iCs w:val="1"/>
        <w:color w:val="d07638"/>
        <w:sz w:val="68"/>
        <w:szCs w:val="68"/>
      </w:rPr>
    </w:pPr>
    <w:r w:rsidDel="00000000" w:rsidR="00000000" w:rsidRPr="00000000">
      <w:rPr>
        <w:rFonts w:ascii="Chonburi" w:cs="Chonburi" w:eastAsia="Chonburi" w:hAnsi="Chonburi"/>
        <w:b w:val="1"/>
        <w:bCs w:val="1"/>
        <w:color w:val="d07638"/>
        <w:sz w:val="52"/>
        <w:szCs w:val="52"/>
        <w:rtl w:val="0"/>
      </w:rPr>
      <w:t xml:space="preserve">JASPI</w:t>
    </w:r>
    <w:r w:rsidDel="00000000" w:rsidR="00000000" w:rsidRPr="00000000">
      <w:rPr>
        <w:rFonts w:ascii="Calibri" w:cs="Calibri" w:eastAsia="Calibri" w:hAnsi="Calibri"/>
        <w:color w:val="d07638"/>
        <w:sz w:val="16"/>
        <w:szCs w:val="16"/>
        <w:rtl w:val="0"/>
      </w:rPr>
      <w:t xml:space="preserve">                                                                                                                                                                        </w:t>
    </w: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1104900</wp:posOffset>
              </wp:positionH>
              <wp:positionV relativeFrom="paragraph">
                <wp:posOffset>114300</wp:posOffset>
              </wp:positionV>
              <wp:extent cx="5657025" cy="20132"/>
              <wp:effectExtent b="0" l="0" r="0" t="0"/>
              <wp:wrapNone/>
              <wp:docPr id="169" name=""/>
              <a:graphic>
                <a:graphicData uri="http://schemas.microsoft.com/office/word/2010/wordprocessingShape">
                  <wps:wsp>
                    <wps:cNvCnPr/>
                    <wps:spPr>
                      <a:xfrm>
                        <a:off x="2679150" y="3780000"/>
                        <a:ext cx="5333700" cy="0"/>
                      </a:xfrm>
                      <a:prstGeom prst="straightConnector1">
                        <a:avLst/>
                      </a:prstGeom>
                      <a:noFill/>
                      <a:ln cap="flat" cmpd="sng" w="9525">
                        <a:solidFill>
                          <a:srgbClr val="D27E26"/>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1104900</wp:posOffset>
              </wp:positionH>
              <wp:positionV relativeFrom="paragraph">
                <wp:posOffset>114300</wp:posOffset>
              </wp:positionV>
              <wp:extent cx="5657025" cy="20132"/>
              <wp:effectExtent b="0" l="0" r="0" t="0"/>
              <wp:wrapNone/>
              <wp:docPr id="169" name="image8.png"/>
              <a:graphic>
                <a:graphicData uri="http://schemas.openxmlformats.org/drawingml/2006/picture">
                  <pic:pic>
                    <pic:nvPicPr>
                      <pic:cNvPr id="0" name="image8.png"/>
                      <pic:cNvPicPr preferRelativeResize="0"/>
                    </pic:nvPicPr>
                    <pic:blipFill>
                      <a:blip r:embed="rId2"/>
                      <a:srcRect/>
                      <a:stretch>
                        <a:fillRect/>
                      </a:stretch>
                    </pic:blipFill>
                    <pic:spPr>
                      <a:xfrm>
                        <a:off x="0" y="0"/>
                        <a:ext cx="5657025" cy="20132"/>
                      </a:xfrm>
                      <a:prstGeom prst="rect"/>
                      <a:ln/>
                    </pic:spPr>
                  </pic:pic>
                </a:graphicData>
              </a:graphic>
            </wp:anchor>
          </w:drawing>
        </mc:Fallback>
      </mc:AlternateConten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I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rPr>
      <w:rFonts w:ascii="Calibri" w:cs="Calibri" w:eastAsia="Calibri" w:hAnsi="Calibri"/>
      <w:sz w:val="22"/>
      <w:szCs w:val="22"/>
    </w:rPr>
    <w:tblPr>
      <w:tblStyleRowBandSize w:val="1"/>
      <w:tblStyleColBandSize w:val="1"/>
      <w:tblCellMar>
        <w:top w:w="0.0" w:type="dxa"/>
        <w:left w:w="108.0" w:type="dxa"/>
        <w:bottom w:w="0.0" w:type="dxa"/>
        <w:right w:w="108.0" w:type="dxa"/>
      </w:tblCellMar>
    </w:tblPr>
  </w:style>
  <w:style w:type="table" w:styleId="Table2">
    <w:basedOn w:val="TableNormal"/>
    <w:rPr>
      <w:rFonts w:ascii="Calibri" w:cs="Calibri" w:eastAsia="Calibri" w:hAnsi="Calibri"/>
      <w:sz w:val="22"/>
      <w:szCs w:val="22"/>
    </w:rPr>
    <w:tblPr>
      <w:tblStyleRowBandSize w:val="1"/>
      <w:tblStyleColBandSize w:val="1"/>
      <w:tblCellMar>
        <w:top w:w="0.0" w:type="dxa"/>
        <w:left w:w="108.0" w:type="dxa"/>
        <w:bottom w:w="0.0" w:type="dxa"/>
        <w:right w:w="108.0" w:type="dxa"/>
      </w:tblCellMar>
    </w:tblPr>
  </w:style>
  <w:style w:type="table" w:styleId="Table3">
    <w:basedOn w:val="TableNormal"/>
    <w:rPr>
      <w:rFonts w:ascii="Calibri" w:cs="Calibri" w:eastAsia="Calibri" w:hAnsi="Calibri"/>
      <w:sz w:val="22"/>
      <w:szCs w:val="22"/>
    </w:rPr>
    <w:tblPr>
      <w:tblStyleRowBandSize w:val="1"/>
      <w:tblStyleColBandSize w:val="1"/>
      <w:tblCellMar>
        <w:top w:w="0.0" w:type="dxa"/>
        <w:left w:w="108.0" w:type="dxa"/>
        <w:bottom w:w="0.0" w:type="dxa"/>
        <w:right w:w="108.0" w:type="dxa"/>
      </w:tblCellMar>
    </w:tblPr>
  </w:style>
  <w:style w:type="table" w:styleId="Table4">
    <w:basedOn w:val="TableNormal"/>
    <w:rPr>
      <w:rFonts w:ascii="Calibri" w:cs="Calibri" w:eastAsia="Calibri" w:hAnsi="Calibri"/>
      <w:sz w:val="22"/>
      <w:szCs w:val="22"/>
    </w:rPr>
    <w:tblPr>
      <w:tblStyleRowBandSize w:val="1"/>
      <w:tblStyleColBandSize w:val="1"/>
      <w:tblCellMar>
        <w:top w:w="0.0" w:type="dxa"/>
        <w:left w:w="108.0" w:type="dxa"/>
        <w:bottom w:w="0.0" w:type="dxa"/>
        <w:right w:w="108.0" w:type="dxa"/>
      </w:tblCellMar>
    </w:tblPr>
    <w:tblStylePr w:type="band1Horz">
      <w:tcPr>
        <w:shd w:fill="fbe5d5" w:val="clear"/>
      </w:tcPr>
    </w:tblStylePr>
    <w:tblStylePr w:type="band1Vert">
      <w:tcPr>
        <w:shd w:fill="fbe5d5" w:val="clear"/>
      </w:tcPr>
    </w:tblStylePr>
    <w:tblStylePr w:type="firstCol">
      <w:rPr>
        <w:b w:val="1"/>
      </w:rPr>
    </w:tblStylePr>
    <w:tblStylePr w:type="firstRow">
      <w:rPr>
        <w:b w:val="1"/>
        <w:color w:val="ffffff"/>
      </w:rPr>
      <w:tcPr>
        <w:tcBorders>
          <w:top w:color="ed7d31" w:space="0" w:sz="4" w:val="single"/>
          <w:left w:color="ed7d31" w:space="0" w:sz="4" w:val="single"/>
          <w:bottom w:color="ed7d31" w:space="0" w:sz="4" w:val="single"/>
          <w:right w:color="ed7d31" w:space="0" w:sz="4" w:val="single"/>
          <w:insideH w:color="000000" w:space="0" w:sz="0" w:val="nil"/>
          <w:insideV w:color="000000" w:space="0" w:sz="0" w:val="nil"/>
        </w:tcBorders>
        <w:shd w:fill="ed7d31" w:val="clear"/>
      </w:tcPr>
    </w:tblStylePr>
    <w:tblStylePr w:type="lastCol">
      <w:rPr>
        <w:b w:val="1"/>
      </w:rPr>
    </w:tblStylePr>
    <w:tblStylePr w:type="lastRow">
      <w:rPr>
        <w:b w:val="1"/>
      </w:rPr>
      <w:tcPr>
        <w:tcBorders>
          <w:top w:color="ed7d31" w:space="0" w:sz="4" w:val="single"/>
        </w:tcBorders>
      </w:tcPr>
    </w:tblStyle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rPr>
      <w:rFonts w:ascii="Calibri" w:cs="Calibri" w:eastAsia="Calibri" w:hAnsi="Calibri"/>
      <w:sz w:val="22"/>
      <w:szCs w:val="22"/>
    </w:rPr>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rPr>
      <w:rFonts w:ascii="Calibri" w:cs="Calibri" w:eastAsia="Calibri" w:hAnsi="Calibri"/>
      <w:sz w:val="22"/>
      <w:szCs w:val="22"/>
    </w:rPr>
    <w:tblPr>
      <w:tblStyleRowBandSize w:val="1"/>
      <w:tblStyleColBandSize w:val="1"/>
      <w:tblCellMar>
        <w:top w:w="0.0" w:type="dxa"/>
        <w:left w:w="108.0" w:type="dxa"/>
        <w:bottom w:w="0.0" w:type="dxa"/>
        <w:right w:w="108.0" w:type="dxa"/>
      </w:tblCellMar>
    </w:tblPr>
  </w:style>
  <w:style w:type="table" w:styleId="Table2">
    <w:basedOn w:val="TableNormal"/>
    <w:rPr>
      <w:rFonts w:ascii="Calibri" w:cs="Calibri" w:eastAsia="Calibri" w:hAnsi="Calibri"/>
      <w:sz w:val="22"/>
      <w:szCs w:val="22"/>
    </w:rPr>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rPr>
      <w:rFonts w:ascii="Calibri" w:cs="Calibri" w:eastAsia="Calibri" w:hAnsi="Calibri"/>
      <w:sz w:val="22"/>
      <w:szCs w:val="22"/>
    </w:r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15.0" w:type="dxa"/>
        <w:bottom w:w="0.0" w:type="dxa"/>
        <w:right w:w="115.0" w:type="dxa"/>
      </w:tblCellMar>
    </w:tblPr>
    <w:tcPr>
      <w:shd w:fill="cccccc" w:val="clear"/>
    </w:tc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rPr>
      <w:rFonts w:ascii="Calibri" w:cs="Calibri" w:eastAsia="Calibri" w:hAnsi="Calibri"/>
      <w:sz w:val="22"/>
      <w:szCs w:val="22"/>
    </w:rPr>
    <w:tblPr>
      <w:tblStyleRowBandSize w:val="1"/>
      <w:tblStyleColBandSize w:val="1"/>
      <w:tblCellMar>
        <w:top w:w="0.0" w:type="dxa"/>
        <w:left w:w="108.0" w:type="dxa"/>
        <w:bottom w:w="0.0" w:type="dxa"/>
        <w:right w:w="108.0" w:type="dxa"/>
      </w:tblCellMar>
    </w:tblPr>
    <w:tcPr>
      <w:shd w:fill="cccccc" w:val="clear"/>
    </w:tc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rPr>
      <w:rFonts w:ascii="Calibri" w:cs="Calibri" w:eastAsia="Calibri" w:hAnsi="Calibri"/>
      <w:sz w:val="22"/>
      <w:szCs w:val="22"/>
    </w:rPr>
    <w:tblPr>
      <w:tblStyleRowBandSize w:val="1"/>
      <w:tblStyleColBandSize w:val="1"/>
      <w:tblCellMar>
        <w:top w:w="0.0" w:type="dxa"/>
        <w:left w:w="108.0" w:type="dxa"/>
        <w:bottom w:w="0.0" w:type="dxa"/>
        <w:right w:w="108.0" w:type="dxa"/>
      </w:tblCellMar>
    </w:tblPr>
    <w:tcPr>
      <w:shd w:fill="cccccc" w:val="clear"/>
    </w:tcPr>
  </w:style>
  <w:style w:type="table" w:styleId="Table2">
    <w:basedOn w:val="TableNormal"/>
    <w:rPr>
      <w:rFonts w:ascii="Calibri" w:cs="Calibri" w:eastAsia="Calibri" w:hAnsi="Calibri"/>
      <w:sz w:val="22"/>
      <w:szCs w:val="22"/>
    </w:rPr>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rPr>
      <w:rFonts w:ascii="Calibri" w:cs="Calibri" w:eastAsia="Calibri" w:hAnsi="Calibri"/>
      <w:sz w:val="22"/>
      <w:szCs w:val="22"/>
    </w:rPr>
    <w:tblPr>
      <w:tblStyleRowBandSize w:val="1"/>
      <w:tblStyleColBandSize w:val="1"/>
      <w:tblCellMar>
        <w:top w:w="0.0" w:type="dxa"/>
        <w:left w:w="108.0" w:type="dxa"/>
        <w:bottom w:w="0.0" w:type="dxa"/>
        <w:right w:w="108.0" w:type="dxa"/>
      </w:tblCellMar>
    </w:tblPr>
    <w:tcPr>
      <w:shd w:fill="cccccc" w:val="clear"/>
    </w:tc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pPr>
      <w:spacing w:line="240" w:lineRule="auto"/>
    </w:pPr>
    <w:rPr>
      <w:rFonts w:ascii="Cambria" w:cs="Cambria" w:eastAsia="Cambria" w:hAnsi="Cambria"/>
    </w:rPr>
    <w:tblPr>
      <w:tblStyleRowBandSize w:val="1"/>
      <w:tblStyleColBandSize w:val="1"/>
      <w:tblCellMar>
        <w:top w:w="0.0" w:type="dxa"/>
        <w:left w:w="115.0" w:type="dxa"/>
        <w:bottom w:w="0.0" w:type="dxa"/>
        <w:right w:w="115.0" w:type="dxa"/>
      </w:tblCellMar>
    </w:tblPr>
    <w:tcPr>
      <w:shd w:fill="fdeada" w:val="clear"/>
    </w:tcPr>
    <w:tblStylePr w:type="band1Horz">
      <w:tcPr>
        <w:shd w:fill="fbd5b5" w:val="clear"/>
      </w:tcPr>
    </w:tblStylePr>
    <w:tblStylePr w:type="band1Vert">
      <w:tcPr>
        <w:shd w:fill="fbd5b5" w:val="clear"/>
      </w:tcPr>
    </w:tblStylePr>
    <w:tblStylePr w:type="firstCol">
      <w:rPr>
        <w:b w:val="1"/>
        <w:color w:val="ffffff"/>
      </w:rPr>
      <w:tcPr>
        <w:tcBorders>
          <w:top w:color="ffffff" w:space="0" w:sz="4" w:val="single"/>
          <w:left w:color="ffffff" w:space="0" w:sz="4" w:val="single"/>
          <w:bottom w:color="ffffff" w:space="0" w:sz="4" w:val="single"/>
          <w:insideV w:color="000000" w:space="0" w:sz="0" w:val="nil"/>
        </w:tcBorders>
        <w:shd w:fill="f79646" w:val="clear"/>
      </w:tcPr>
    </w:tblStylePr>
    <w:tblStylePr w:type="firstRow">
      <w:rPr>
        <w:b w:val="1"/>
        <w:color w:val="ffffff"/>
      </w:rPr>
      <w:tcPr>
        <w:tcBorders>
          <w:top w:color="ffffff" w:space="0" w:sz="4" w:val="single"/>
          <w:left w:color="ffffff" w:space="0" w:sz="4" w:val="single"/>
          <w:right w:color="ffffff" w:space="0" w:sz="4" w:val="single"/>
          <w:insideH w:color="000000" w:space="0" w:sz="0" w:val="nil"/>
          <w:insideV w:color="000000" w:space="0" w:sz="0" w:val="nil"/>
        </w:tcBorders>
        <w:shd w:fill="f79646" w:val="clear"/>
      </w:tcPr>
    </w:tblStylePr>
    <w:tblStylePr w:type="lastCol">
      <w:rPr>
        <w:b w:val="1"/>
        <w:color w:val="ffffff"/>
      </w:rPr>
      <w:tcPr>
        <w:tcBorders>
          <w:top w:color="ffffff" w:space="0" w:sz="4" w:val="single"/>
          <w:bottom w:color="ffffff" w:space="0" w:sz="4" w:val="single"/>
          <w:right w:color="ffffff" w:space="0" w:sz="4" w:val="single"/>
          <w:insideV w:color="000000" w:space="0" w:sz="0" w:val="nil"/>
        </w:tcBorders>
        <w:shd w:fill="f79646" w:val="clear"/>
      </w:tcPr>
    </w:tblStylePr>
    <w:tblStylePr w:type="lastRow">
      <w:rPr>
        <w:b w:val="1"/>
        <w:color w:val="ffffff"/>
      </w:rPr>
      <w:tcPr>
        <w:tcBorders>
          <w:left w:color="ffffff" w:space="0" w:sz="4" w:val="single"/>
          <w:bottom w:color="ffffff" w:space="0" w:sz="4" w:val="single"/>
          <w:right w:color="ffffff" w:space="0" w:sz="4" w:val="single"/>
          <w:insideH w:color="000000" w:space="0" w:sz="0" w:val="nil"/>
          <w:insideV w:color="000000" w:space="0" w:sz="0" w:val="nil"/>
        </w:tcBorders>
        <w:shd w:fill="f79646" w:val="clear"/>
      </w:tcPr>
    </w:tblStyle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line="240" w:lineRule="auto"/>
    </w:pPr>
    <w:rPr>
      <w:rFonts w:ascii="Calibri" w:cs="Calibri" w:eastAsia="Calibri" w:hAnsi="Calibri"/>
      <w:sz w:val="22"/>
      <w:szCs w:val="22"/>
    </w:rPr>
    <w:tblPr>
      <w:tblStyleRowBandSize w:val="1"/>
      <w:tblStyleColBandSize w:val="1"/>
      <w:tblCellMar>
        <w:top w:w="0.0" w:type="dxa"/>
        <w:left w:w="108.0" w:type="dxa"/>
        <w:bottom w:w="0.0" w:type="dxa"/>
        <w:right w:w="108.0" w:type="dxa"/>
      </w:tblCellMar>
    </w:tblPr>
    <w:tcPr>
      <w:shd w:fill="fdeada" w:val="clear"/>
    </w:tcPr>
  </w:style>
  <w:style w:type="table" w:styleId="Table2">
    <w:basedOn w:val="TableNormal"/>
    <w:rPr>
      <w:rFonts w:ascii="Calibri" w:cs="Calibri" w:eastAsia="Calibri" w:hAnsi="Calibri"/>
      <w:sz w:val="22"/>
      <w:szCs w:val="22"/>
    </w:rPr>
    <w:tblPr>
      <w:tblStyleRowBandSize w:val="1"/>
      <w:tblStyleColBandSize w:val="1"/>
      <w:tblCellMar>
        <w:top w:w="0.0" w:type="dxa"/>
        <w:left w:w="108.0" w:type="dxa"/>
        <w:bottom w:w="0.0" w:type="dxa"/>
        <w:right w:w="108.0" w:type="dxa"/>
      </w:tblCellMar>
    </w:tblPr>
    <w:tcPr>
      <w:shd w:fill="cccccc" w:val="clear"/>
    </w:tc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pPr>
      <w:spacing w:after="0" w:line="240" w:lineRule="auto"/>
    </w:pPr>
    <w:tblPr>
      <w:tblStyleRowBandSize w:val="1"/>
      <w:tblStyleColBandSize w:val="1"/>
      <w:tblCellMar>
        <w:top w:w="0.0" w:type="dxa"/>
        <w:left w:w="115.0" w:type="dxa"/>
        <w:bottom w:w="0.0" w:type="dxa"/>
        <w:right w:w="115.0" w:type="dxa"/>
      </w:tblCellMar>
    </w:tblPr>
    <w:tcPr>
      <w:shd w:fill="fdeada" w:val="clear"/>
    </w:tcPr>
    <w:tblStylePr w:type="band1Horz">
      <w:tcPr>
        <w:shd w:fill="fbd5b5" w:val="clear"/>
      </w:tcPr>
    </w:tblStylePr>
    <w:tblStylePr w:type="band1Vert">
      <w:tcPr>
        <w:shd w:fill="fbd5b5" w:val="clear"/>
      </w:tcPr>
    </w:tblStylePr>
    <w:tblStylePr w:type="firstCol">
      <w:rPr>
        <w:b w:val="1"/>
        <w:color w:val="ffffff"/>
      </w:rPr>
      <w:tcPr>
        <w:tcBorders>
          <w:top w:color="ffffff" w:space="0" w:sz="4" w:val="single"/>
          <w:left w:color="ffffff" w:space="0" w:sz="4" w:val="single"/>
          <w:bottom w:color="ffffff" w:space="0" w:sz="4" w:val="single"/>
          <w:insideV w:color="000000" w:space="0" w:sz="0" w:val="nil"/>
        </w:tcBorders>
        <w:shd w:fill="f79646" w:val="clear"/>
      </w:tcPr>
    </w:tblStylePr>
    <w:tblStylePr w:type="firstRow">
      <w:rPr>
        <w:b w:val="1"/>
        <w:color w:val="ffffff"/>
      </w:rPr>
      <w:tcPr>
        <w:tcBorders>
          <w:top w:color="ffffff" w:space="0" w:sz="4" w:val="single"/>
          <w:left w:color="ffffff" w:space="0" w:sz="4" w:val="single"/>
          <w:right w:color="ffffff" w:space="0" w:sz="4" w:val="single"/>
          <w:insideH w:color="000000" w:space="0" w:sz="0" w:val="nil"/>
          <w:insideV w:color="000000" w:space="0" w:sz="0" w:val="nil"/>
        </w:tcBorders>
        <w:shd w:fill="f79646" w:val="clear"/>
      </w:tcPr>
    </w:tblStylePr>
    <w:tblStylePr w:type="lastCol">
      <w:rPr>
        <w:b w:val="1"/>
        <w:color w:val="ffffff"/>
      </w:rPr>
      <w:tcPr>
        <w:tcBorders>
          <w:top w:color="ffffff" w:space="0" w:sz="4" w:val="single"/>
          <w:bottom w:color="ffffff" w:space="0" w:sz="4" w:val="single"/>
          <w:right w:color="ffffff" w:space="0" w:sz="4" w:val="single"/>
          <w:insideV w:color="000000" w:space="0" w:sz="0" w:val="nil"/>
        </w:tcBorders>
        <w:shd w:fill="f79646" w:val="clear"/>
      </w:tcPr>
    </w:tblStylePr>
    <w:tblStylePr w:type="lastRow">
      <w:rPr>
        <w:b w:val="1"/>
        <w:color w:val="ffffff"/>
      </w:rPr>
      <w:tcPr>
        <w:tcBorders>
          <w:left w:color="ffffff" w:space="0" w:sz="4" w:val="single"/>
          <w:bottom w:color="ffffff" w:space="0" w:sz="4" w:val="single"/>
          <w:right w:color="ffffff" w:space="0" w:sz="4" w:val="single"/>
          <w:insideH w:color="000000" w:space="0" w:sz="0" w:val="nil"/>
          <w:insideV w:color="000000" w:space="0" w:sz="0" w:val="nil"/>
        </w:tcBorders>
        <w:shd w:fill="f79646" w:val="clear"/>
      </w:tcPr>
    </w:tblStyle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rPr>
      <w:rFonts w:ascii="Calibri" w:cs="Calibri" w:eastAsia="Calibri" w:hAnsi="Calibri"/>
      <w:sz w:val="22"/>
      <w:szCs w:val="22"/>
    </w:rPr>
    <w:tblPr>
      <w:tblStyleRowBandSize w:val="1"/>
      <w:tblStyleColBandSize w:val="1"/>
      <w:tblCellMar>
        <w:top w:w="0.0" w:type="dxa"/>
        <w:left w:w="115.0" w:type="dxa"/>
        <w:bottom w:w="0.0" w:type="dxa"/>
        <w:right w:w="115.0" w:type="dxa"/>
      </w:tblCellMar>
    </w:tblPr>
    <w:tcPr>
      <w:shd w:fill="fdeada" w:val="clear"/>
    </w:tcPr>
  </w:style>
  <w:style w:type="table" w:styleId="Table2">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rPr>
      <w:rFonts w:ascii="Calibri" w:cs="Calibri" w:eastAsia="Calibri" w:hAnsi="Calibri"/>
      <w:sz w:val="22"/>
      <w:szCs w:val="22"/>
    </w:rPr>
    <w:tblPr>
      <w:tblStyleRowBandSize w:val="1"/>
      <w:tblStyleColBandSize w:val="1"/>
      <w:tblCellMar>
        <w:top w:w="0.0" w:type="dxa"/>
        <w:left w:w="115.0" w:type="dxa"/>
        <w:bottom w:w="0.0" w:type="dxa"/>
        <w:right w:w="115.0" w:type="dxa"/>
      </w:tblCellMar>
    </w:tblPr>
    <w:tcPr>
      <w:shd w:fill="fdeada" w:val="clear"/>
    </w:tcPr>
  </w:style>
  <w:style w:type="table" w:styleId="Table2">
    <w:basedOn w:val="TableNormal"/>
    <w:rPr>
      <w:rFonts w:ascii="Calibri" w:cs="Calibri" w:eastAsia="Calibri" w:hAnsi="Calibri"/>
      <w:sz w:val="22"/>
      <w:szCs w:val="22"/>
    </w:rPr>
    <w:tblPr>
      <w:tblStyleRowBandSize w:val="1"/>
      <w:tblStyleColBandSize w:val="1"/>
      <w:tblCellMar>
        <w:top w:w="0.0" w:type="dxa"/>
        <w:left w:w="108.0" w:type="dxa"/>
        <w:bottom w:w="0.0" w:type="dxa"/>
        <w:right w:w="108.0" w:type="dxa"/>
      </w:tblCellMar>
    </w:tblPr>
    <w:tcPr>
      <w:shd w:fill="cccccc" w:val="clear"/>
    </w:tcPr>
  </w:style>
  <w:style w:type="table" w:styleId="Table3">
    <w:basedOn w:val="TableNormal"/>
    <w:pPr>
      <w:spacing w:after="0" w:line="240" w:lineRule="auto"/>
    </w:pPr>
    <w:rPr>
      <w:rFonts w:ascii="Calibri" w:cs="Calibri" w:eastAsia="Calibri" w:hAnsi="Calibri"/>
      <w:sz w:val="22"/>
      <w:szCs w:val="22"/>
    </w:rPr>
    <w:tblPr>
      <w:tblStyleRowBandSize w:val="1"/>
      <w:tblStyleColBandSize w:val="1"/>
      <w:tblCellMar>
        <w:top w:w="0.0" w:type="dxa"/>
        <w:left w:w="115.0" w:type="dxa"/>
        <w:bottom w:w="0.0" w:type="dxa"/>
        <w:right w:w="115.0" w:type="dxa"/>
      </w:tblCellMar>
    </w:tblPr>
    <w:tcPr>
      <w:shd w:fill="fdeada" w:val="clear"/>
    </w:tc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rPr>
      <w:rFonts w:ascii="Calibri" w:cs="Calibri" w:eastAsia="Calibri" w:hAnsi="Calibri"/>
      <w:sz w:val="22"/>
      <w:szCs w:val="22"/>
    </w:rPr>
    <w:tblPr>
      <w:tblStyleRowBandSize w:val="1"/>
      <w:tblStyleColBandSize w:val="1"/>
      <w:tblCellMar>
        <w:top w:w="0.0" w:type="dxa"/>
        <w:left w:w="115.0" w:type="dxa"/>
        <w:bottom w:w="0.0" w:type="dxa"/>
        <w:right w:w="115.0" w:type="dxa"/>
      </w:tblCellMar>
    </w:tblPr>
    <w:tcPr>
      <w:shd w:fill="fdeada" w:val="clear"/>
    </w:tcPr>
  </w:style>
  <w:style w:type="table" w:styleId="Table2">
    <w:basedOn w:val="TableNormal"/>
    <w:pPr>
      <w:spacing w:after="0" w:line="240" w:lineRule="auto"/>
    </w:pPr>
    <w:rPr>
      <w:rFonts w:ascii="Calibri" w:cs="Calibri" w:eastAsia="Calibri" w:hAnsi="Calibri"/>
      <w:sz w:val="22"/>
      <w:szCs w:val="22"/>
    </w:rPr>
    <w:tblPr>
      <w:tblStyleRowBandSize w:val="1"/>
      <w:tblStyleColBandSize w:val="1"/>
      <w:tblCellMar>
        <w:top w:w="0.0" w:type="dxa"/>
        <w:left w:w="115.0" w:type="dxa"/>
        <w:bottom w:w="0.0" w:type="dxa"/>
        <w:right w:w="115.0" w:type="dxa"/>
      </w:tblCellMar>
    </w:tblPr>
    <w:tcPr>
      <w:shd w:fill="fdeada" w:val="clear"/>
    </w:tcPr>
  </w:style>
  <w:style w:type="table" w:styleId="Table3">
    <w:basedOn w:val="TableNormal"/>
    <w:pPr>
      <w:spacing w:after="0" w:line="240" w:lineRule="auto"/>
    </w:pPr>
    <w:rPr>
      <w:rFonts w:ascii="Calibri" w:cs="Calibri" w:eastAsia="Calibri" w:hAnsi="Calibri"/>
      <w:sz w:val="22"/>
      <w:szCs w:val="22"/>
    </w:rPr>
    <w:tblPr>
      <w:tblStyleRowBandSize w:val="1"/>
      <w:tblStyleColBandSize w:val="1"/>
      <w:tblCellMar>
        <w:top w:w="0.0" w:type="dxa"/>
        <w:left w:w="115.0" w:type="dxa"/>
        <w:bottom w:w="0.0" w:type="dxa"/>
        <w:right w:w="115.0" w:type="dxa"/>
      </w:tblCellMar>
    </w:tblPr>
    <w:tcPr>
      <w:shd w:fill="fdeada" w:val="clear"/>
    </w:tcPr>
  </w:style>
  <w:style w:type="table" w:styleId="Table4">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rPr>
      <w:rFonts w:ascii="Calibri" w:cs="Calibri" w:eastAsia="Calibri" w:hAnsi="Calibri"/>
      <w:sz w:val="22"/>
      <w:szCs w:val="22"/>
    </w:rPr>
    <w:tblPr>
      <w:tblStyleRowBandSize w:val="1"/>
      <w:tblStyleColBandSize w:val="1"/>
      <w:tblCellMar>
        <w:top w:w="100.0" w:type="dxa"/>
        <w:left w:w="100.0" w:type="dxa"/>
        <w:bottom w:w="100.0" w:type="dxa"/>
        <w:right w:w="100.0" w:type="dxa"/>
      </w:tblCellMar>
    </w:tblPr>
    <w:tcPr>
      <w:shd w:fill="fdeada" w:val="clear"/>
    </w:tcPr>
  </w:style>
  <w:style w:type="table" w:styleId="Table2">
    <w:basedOn w:val="TableNormal"/>
    <w:pPr>
      <w:spacing w:after="0" w:line="240" w:lineRule="auto"/>
    </w:pPr>
    <w:rPr>
      <w:rFonts w:ascii="Calibri" w:cs="Calibri" w:eastAsia="Calibri" w:hAnsi="Calibri"/>
      <w:sz w:val="22"/>
      <w:szCs w:val="22"/>
    </w:rPr>
    <w:tblPr>
      <w:tblStyleRowBandSize w:val="1"/>
      <w:tblStyleColBandSize w:val="1"/>
      <w:tblCellMar>
        <w:top w:w="100.0" w:type="dxa"/>
        <w:left w:w="100.0" w:type="dxa"/>
        <w:bottom w:w="100.0" w:type="dxa"/>
        <w:right w:w="100.0" w:type="dxa"/>
      </w:tblCellMar>
    </w:tblPr>
    <w:tcPr>
      <w:shd w:fill="fdeada" w:val="clear"/>
    </w:tcPr>
  </w:style>
  <w:style w:type="table" w:styleId="Table3">
    <w:basedOn w:val="TableNormal"/>
    <w:pPr>
      <w:spacing w:after="0" w:line="240" w:lineRule="auto"/>
    </w:pPr>
    <w:rPr>
      <w:rFonts w:ascii="Calibri" w:cs="Calibri" w:eastAsia="Calibri" w:hAnsi="Calibri"/>
      <w:sz w:val="22"/>
      <w:szCs w:val="22"/>
    </w:rPr>
    <w:tblPr>
      <w:tblStyleRowBandSize w:val="1"/>
      <w:tblStyleColBandSize w:val="1"/>
      <w:tblCellMar>
        <w:top w:w="100.0" w:type="dxa"/>
        <w:left w:w="100.0" w:type="dxa"/>
        <w:bottom w:w="100.0" w:type="dxa"/>
        <w:right w:w="100.0" w:type="dxa"/>
      </w:tblCellMar>
    </w:tblPr>
    <w:tcPr>
      <w:shd w:fill="fdeada" w:val="clear"/>
    </w:tc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rPr>
      <w:rFonts w:ascii="Calibri" w:cs="Calibri" w:eastAsia="Calibri" w:hAnsi="Calibri"/>
      <w:sz w:val="22"/>
      <w:szCs w:val="22"/>
    </w:rPr>
    <w:tblPr>
      <w:tblStyleRowBandSize w:val="1"/>
      <w:tblStyleColBandSize w:val="1"/>
      <w:tblCellMar>
        <w:top w:w="100.0" w:type="dxa"/>
        <w:left w:w="100.0" w:type="dxa"/>
        <w:bottom w:w="100.0" w:type="dxa"/>
        <w:right w:w="100.0" w:type="dxa"/>
      </w:tblCellMar>
    </w:tblPr>
    <w:tcPr>
      <w:shd w:fill="fdeada" w:val="clear"/>
    </w:tcPr>
  </w:style>
  <w:style w:type="table" w:styleId="Table2">
    <w:basedOn w:val="TableNormal"/>
    <w:pPr>
      <w:spacing w:after="0" w:line="240" w:lineRule="auto"/>
    </w:pPr>
    <w:rPr>
      <w:rFonts w:ascii="Calibri" w:cs="Calibri" w:eastAsia="Calibri" w:hAnsi="Calibri"/>
      <w:sz w:val="22"/>
      <w:szCs w:val="22"/>
    </w:rPr>
    <w:tblPr>
      <w:tblStyleRowBandSize w:val="1"/>
      <w:tblStyleColBandSize w:val="1"/>
      <w:tblCellMar>
        <w:top w:w="100.0" w:type="dxa"/>
        <w:left w:w="100.0" w:type="dxa"/>
        <w:bottom w:w="100.0" w:type="dxa"/>
        <w:right w:w="100.0" w:type="dxa"/>
      </w:tblCellMar>
    </w:tblPr>
    <w:tcPr>
      <w:shd w:fill="fdeada" w:val="clear"/>
    </w:tc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rPr>
      <w:rFonts w:ascii="Calibri" w:cs="Calibri" w:eastAsia="Calibri" w:hAnsi="Calibri"/>
      <w:sz w:val="22"/>
      <w:szCs w:val="22"/>
    </w:rPr>
    <w:tblPr>
      <w:tblStyleRowBandSize w:val="1"/>
      <w:tblStyleColBandSize w:val="1"/>
      <w:tblCellMar>
        <w:top w:w="100.0" w:type="dxa"/>
        <w:left w:w="100.0" w:type="dxa"/>
        <w:bottom w:w="100.0" w:type="dxa"/>
        <w:right w:w="100.0" w:type="dxa"/>
      </w:tblCellMar>
    </w:tblPr>
    <w:tcPr>
      <w:shd w:fill="fdeada" w:val="clear"/>
    </w:tcPr>
  </w:style>
  <w:style w:type="table" w:styleId="Table2">
    <w:basedOn w:val="TableNormal"/>
    <w:pPr>
      <w:spacing w:after="0" w:line="240" w:lineRule="auto"/>
    </w:pPr>
    <w:rPr>
      <w:rFonts w:ascii="Calibri" w:cs="Calibri" w:eastAsia="Calibri" w:hAnsi="Calibri"/>
      <w:sz w:val="22"/>
      <w:szCs w:val="22"/>
    </w:rPr>
    <w:tblPr>
      <w:tblStyleRowBandSize w:val="1"/>
      <w:tblStyleColBandSize w:val="1"/>
      <w:tblCellMar>
        <w:top w:w="100.0" w:type="dxa"/>
        <w:left w:w="100.0" w:type="dxa"/>
        <w:bottom w:w="100.0" w:type="dxa"/>
        <w:right w:w="100.0" w:type="dxa"/>
      </w:tblCellMar>
    </w:tblPr>
    <w:tcPr>
      <w:shd w:fill="fdeada" w:val="clear"/>
    </w:tc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footer" Target="footer1.xml"/><Relationship Id="rId10" Type="http://schemas.openxmlformats.org/officeDocument/2006/relationships/header" Target="header2.xml"/><Relationship Id="rId13" Type="http://schemas.openxmlformats.org/officeDocument/2006/relationships/image" Target="media/image5.png"/><Relationship Id="rId12" Type="http://schemas.openxmlformats.org/officeDocument/2006/relationships/footer" Target="footer2.xml"/><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header" Target="header1.xml"/><Relationship Id="rId14" Type="http://schemas.openxmlformats.org/officeDocument/2006/relationships/image" Target="media/image2.jpg"/><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microsoft.com/office/2011/relationships/commentsExtended" Target="commentsExtended.xml"/></Relationships>
</file>

<file path=word/_rels/fontTable.xml.rels><?xml version="1.0" encoding="UTF-8" standalone="yes"?><Relationships xmlns="http://schemas.openxmlformats.org/package/2006/relationships"><Relationship Id="rId1" Type="http://schemas.openxmlformats.org/officeDocument/2006/relationships/font" Target="fonts/Chonburi-regular.ttf"/><Relationship Id="rId2" Type="http://schemas.openxmlformats.org/officeDocument/2006/relationships/font" Target="fonts/YesevaOne-regular.ttf"/><Relationship Id="rId3" Type="http://schemas.openxmlformats.org/officeDocument/2006/relationships/font" Target="fonts/CenturyGothic-regular.ttf"/><Relationship Id="rId4" Type="http://schemas.openxmlformats.org/officeDocument/2006/relationships/font" Target="fonts/CenturyGothic-bold.ttf"/><Relationship Id="rId5" Type="http://schemas.openxmlformats.org/officeDocument/2006/relationships/font" Target="fonts/CenturyGothic-italic.ttf"/><Relationship Id="rId6" Type="http://schemas.openxmlformats.org/officeDocument/2006/relationships/font" Target="fonts/CenturyGothic-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 Id="rId2" Type="http://schemas.openxmlformats.org/officeDocument/2006/relationships/hyperlink" Target="https://saspi.in/" TargetMode="External"/><Relationship Id="rId3"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 Id="rId2" Type="http://schemas.openxmlformats.org/officeDocument/2006/relationships/hyperlink" Target="https://saspi.in/" TargetMode="External"/><Relationship Id="rId3"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6CHjwCFBWzAIWj3hiQk1MaVKxA==">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